
<file path=[Content_Types].xml><?xml version="1.0" encoding="utf-8"?>
<Types xmlns="http://schemas.openxmlformats.org/package/2006/content-types">
  <Default Extension="xml" ContentType="application/xml"/>
  <Default Extension="rels" ContentType="application/vnd.openxmlformats-package.relationships+xml"/>
  <Default Extension="odttf" ContentType="application/vnd.openxmlformats-officedocument.obfuscatedFont"/>
  <Override PartName="/word/webSettings.xml" ContentType="application/vnd.openxmlformats-officedocument.wordprocessingml.webSettings+xml"/>
  <Override PartName="/word/numbering.xml" ContentType="application/vnd.openxmlformats-officedocument.wordprocessingml.numbering+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styles.xml" ContentType="application/vnd.openxmlformats-officedocument.wordprocessingml.styles+xml"/>
  <Override PartName="/word/document.xml" ContentType="application/vnd.openxmlformats-officedocument.wordprocessingml.document.main+xml"/>
  <Override PartName="/word/comments.xml" ContentType="application/vnd.openxmlformats-officedocument.wordprocessingml.comments+xml"/>
  <Override PartName="/word/footnotes.xml" ContentType="application/vnd.openxmlformats-officedocument.wordprocessingml.footnotes+xml"/>
  <Override PartName="/word/media/rId66.jpg" ContentType="image/jpeg"/>
  <Override PartName="/word/media/rId308.png" ContentType="image/png"/>
  <Override PartName="/word/media/rId62.jpg" ContentType="image/jpeg"/>
  <Override PartName="/word/media/rId337.jpg" ContentType="image/jpeg"/>
  <Override PartName="/word/media/rId70.jpg" ContentType="image/jpeg"/>
  <Override PartName="/word/media/rId45.jpg" ContentType="image/jpeg"/>
  <Override PartName="/word/media/rId303.jpg" ContentType="image/jpeg"/>
  <Override PartName="/word/media/rId78.jpg" ContentType="image/jpeg"/>
  <Override PartName="/word/media/rId384.jpg" ContentType="image/jpeg"/>
  <Override PartName="/word/media/rId379.jpg" ContentType="image/jpeg"/>
  <Override PartName="/word/media/rId373.jpg" ContentType="image/jpeg"/>
  <Override PartName="/word/media/rId368.jpg" ContentType="image/jpeg"/>
  <Override PartName="/word/media/rId362.jpg" ContentType="image/jpeg"/>
  <Override PartName="/word/media/rId357.jpg" ContentType="image/jpeg"/>
  <Override PartName="/word/media/rId351.jpg" ContentType="image/jpeg"/>
  <Override PartName="/word/media/rId346.jpg" ContentType="image/jpeg"/>
  <Override PartName="/word/media/rId55.png" ContentType="image/png"/>
  <Override PartName="/word/media/rId328.png" ContentType="image/png"/>
  <Override PartName="/word/media/rId317.png" ContentType="image/png"/>
  <Override PartName="/word/media/rId333.png" ContentType="image/png"/>
  <Override PartName="/word/media/rId37.jpg" ContentType="image/jpeg"/>
  <Override PartName="/word/media/rId20.jpg" ContentType="image/jpeg"/>
  <Override PartName="/word/media/rId299.png" ContentType="image/png"/>
  <Override PartName="/word/media/rId312.jpg" ContentType="image/jpeg"/>
</Types>
</file>

<file path=_rels/.rels><?xml version="1.0" encoding="UTF-8"?><Relationships xmlns="http://schemas.openxmlformats.org/package/2006/relationships"><Relationship Id="rId1" Type="http://schemas.openxmlformats.org/officeDocument/2006/relationships/officeDocument" Target="word/document.xml" /><Relationship Id="rId4" Type="http://schemas.openxmlformats.org/officeDocument/2006/relationships/extended-properties" Target="docProps/app.xml" /><Relationship Id="rId3" Type="http://schemas.openxmlformats.org/package/2006/relationships/metadata/core-properties" Target="docProps/core.xml" /><Relationship Id="rId5" Type="http://schemas.openxmlformats.org/officeDocument/2006/relationships/custom-properties" Target="docProps/custom.xml" /></Relationships>
</file>

<file path=word/document.xml><?xml version="1.0" encoding="utf-8"?>
<w:document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body>
    <w:p>
      <w:pPr>
        <w:pStyle w:val="Title"/>
      </w:pPr>
      <w:r>
        <w:t xml:space="preserve">Mapping landscape suitability for thinning to reduce evapotranspiration and enhance groundwater recharge in semi-arid ponderosa pine forests</w:t>
      </w:r>
    </w:p>
    <w:p>
      <w:pPr>
        <w:pStyle w:val="Author"/>
      </w:pPr>
      <w:r>
        <w:t xml:space="preserve">Ryan E Lima</w:t>
      </w:r>
    </w:p>
    <w:p>
      <w:pPr>
        <w:pStyle w:val="Author"/>
      </w:pPr>
      <w:r>
        <w:t xml:space="preserve">Neha Gupta</w:t>
      </w:r>
    </w:p>
    <w:p>
      <w:pPr>
        <w:pStyle w:val="Author"/>
      </w:pPr>
      <w:r>
        <w:t xml:space="preserve">Travis Zalesky</w:t>
      </w:r>
    </w:p>
    <w:p>
      <w:pPr>
        <w:pStyle w:val="Author"/>
      </w:pPr>
      <w:r>
        <w:t xml:space="preserve">Temuulen Tsagaan Sankey</w:t>
      </w:r>
    </w:p>
    <w:p>
      <w:pPr>
        <w:pStyle w:val="Author"/>
      </w:pPr>
      <w:r>
        <w:t xml:space="preserve">Abraham E Springer</w:t>
      </w:r>
    </w:p>
    <w:p>
      <w:pPr>
        <w:pStyle w:val="Author"/>
      </w:pPr>
      <w:r>
        <w:t xml:space="preserve">Patrick D. Broxton</w:t>
      </w:r>
    </w:p>
    <w:p>
      <w:pPr>
        <w:pStyle w:val="Author"/>
      </w:pPr>
      <w:r>
        <w:t xml:space="preserve">Katharine Jacobs</w:t>
      </w:r>
    </w:p>
    <w:p>
      <w:pPr>
        <w:pStyle w:val="AbstractTitle"/>
      </w:pPr>
      <w:r>
        <w:t xml:space="preserve">Abstract</w:t>
      </w:r>
    </w:p>
    <w:p>
      <w:pPr>
        <w:pStyle w:val="Abstract"/>
      </w:pPr>
      <w:r>
        <w:t xml:space="preserve">Literature on the relationship between forest thinning and water yield was used to develop suitability criteria to map where forest treatment is most likely to enhance groundwater recharge across the ponderosa pine (</w:t>
      </w:r>
      <w:r>
        <w:rPr>
          <w:i/>
          <w:iCs/>
        </w:rPr>
        <w:t xml:space="preserve">Pinus ponderosa</w:t>
      </w:r>
      <w:r>
        <w:t xml:space="preserve">) forests of Arizona. Recharge in ponderosa pine forests is ephemeral and focused in periods of snowmelt and locations of enhanced permeability when soil moisture exceeds threshold levels. Our approach combines thematic maps of criteria such as fraction of precipitation as snow, slope, aspect, landscape morphology, forest basal area, canopy cover, lineament density, lithology, and hydrologic soil type into a GIS-Multi-Criteria Decision Analysis. Thematic layers were grouped into indices and suitability was determined through a weighted sum model of variables and indices. Approximately 10% (182,000 hectares) of the 1.8 million</w:t>
      </w:r>
      <w:r>
        <w:t xml:space="preserve"> </w:t>
      </w:r>
      <w:r>
        <w:rPr>
          <w:i/>
          <w:iCs/>
        </w:rPr>
        <w:t xml:space="preserve">ha</w:t>
      </w:r>
      <w:r>
        <w:t xml:space="preserve"> </w:t>
      </w:r>
      <w:r>
        <w:t xml:space="preserve">of ponderosa pine forests across western and northern Arizona were found to be highly suitable for groundwater recharge enhancement from forest thinning. This study finds that much of the area where thinning is already planned for the purpose of restoring other ecosystem services may also improve groundwater management in a state facing serious groundwater declines. This GIS-based approach enables hydrologically informed and spatially targeted forest management in semi-arid landscapes from catchment to regional scales.</w:t>
      </w:r>
    </w:p>
    <w:bookmarkStart w:id="26" w:name="introduction"/>
    <w:p>
      <w:pPr>
        <w:pStyle w:val="Heading1"/>
      </w:pPr>
      <w:r>
        <w:t xml:space="preserve">1. Introduction</w:t>
      </w:r>
    </w:p>
    <w:p>
      <w:pPr>
        <w:pStyle w:val="FirstParagraph"/>
      </w:pPr>
      <w:r>
        <w:t xml:space="preserve">Warming associated with anthropogenic climate change has led to a doubling in the frequency of extreme hydroclimate events in the Colorado River Basin since 2010, including droughts, heatwaves, and floods</w:t>
      </w:r>
      <w:r>
        <w:t xml:space="preserve"> </w:t>
      </w:r>
      <w:r>
        <w:t xml:space="preserve">(Bennett, Talsma, and Boero 2021)</w:t>
      </w:r>
      <w:r>
        <w:t xml:space="preserve">. Since 2000, the Colorado River Basin has experienced a historic drought</w:t>
      </w:r>
      <w:r>
        <w:t xml:space="preserve"> </w:t>
      </w:r>
      <w:r>
        <w:t xml:space="preserve">(Meko, Woodhouse, and Winitsky 2022; Williams, Cook, and Smerdon 2022)</w:t>
      </w:r>
      <w:r>
        <w:t xml:space="preserve">. Over this time period, streamflow in the Colorado River has declined by 19% (3.6E9</w:t>
      </w:r>
      <w:r>
        <w:t xml:space="preserve"> </w:t>
      </w:r>
      <w:r>
        <w:rPr>
          <w:i/>
          <w:iCs/>
        </w:rPr>
        <w:t xml:space="preserve">m</w:t>
      </w:r>
      <w:r>
        <w:rPr>
          <w:i/>
          <w:iCs/>
          <w:vertAlign w:val="superscript"/>
        </w:rPr>
        <w:t xml:space="preserve">3</w:t>
      </w:r>
      <w:r>
        <w:t xml:space="preserve">) relative to the 1906-1999 average (18.7E10</w:t>
      </w:r>
      <w:r>
        <w:t xml:space="preserve"> </w:t>
      </w:r>
      <w:r>
        <w:rPr>
          <w:i/>
          <w:iCs/>
        </w:rPr>
        <w:t xml:space="preserve">m</w:t>
      </w:r>
      <w:r>
        <w:rPr>
          <w:i/>
          <w:iCs/>
          <w:vertAlign w:val="superscript"/>
        </w:rPr>
        <w:t xml:space="preserve">3</w:t>
      </w:r>
      <w:r>
        <w:t xml:space="preserve">);</w:t>
      </w:r>
      <w:r>
        <w:t xml:space="preserve"> </w:t>
      </w:r>
      <w:r>
        <w:t xml:space="preserve">(Hogan and Lundquist 2024; Udall and Overpeck 2017)</w:t>
      </w:r>
      <w:r>
        <w:t xml:space="preserve">. Rapid population growth in the Southwestern US, including Arizona, is increasing the demands on already strained water supplies in the State. Reductions in streamflow have increased reliance on groundwater pumping, resulting in groundwater declines across Arizona</w:t>
      </w:r>
      <w:r>
        <w:t xml:space="preserve"> </w:t>
      </w:r>
      <w:r>
        <w:t xml:space="preserve">(Tadych et al. 2024)</w:t>
      </w:r>
      <w:r>
        <w:t xml:space="preserve">. Analyses of regional gravity data have suggested that the rate of groundwater loss in the Colorado River Basin may far exceed the depletion rate of Lake Powell and Lake Mead and that groundwater may account for a more significant portion of water use than previously anticipated</w:t>
      </w:r>
      <w:r>
        <w:t xml:space="preserve"> </w:t>
      </w:r>
      <w:r>
        <w:t xml:space="preserve">(Castle et al. 2014)</w:t>
      </w:r>
      <w:r>
        <w:t xml:space="preserve">.</w:t>
      </w:r>
    </w:p>
    <w:p>
      <w:pPr>
        <w:pStyle w:val="BodyText"/>
      </w:pPr>
      <w:r>
        <w:t xml:space="preserve">Warming temperatures have tripled the frequency and quadrupled the size of wildfires since 2000</w:t>
      </w:r>
      <w:r>
        <w:t xml:space="preserve"> </w:t>
      </w:r>
      <w:r>
        <w:t xml:space="preserve">(Iglesias, Balch, and Travis 2022)</w:t>
      </w:r>
      <w:r>
        <w:t xml:space="preserve">. The risk of catastrophic wildfires is increasing in Western forests–an emerging driver of runoff change that will increase the impact on the water supply</w:t>
      </w:r>
      <w:r>
        <w:t xml:space="preserve"> </w:t>
      </w:r>
      <w:r>
        <w:t xml:space="preserve">(Williams, Cook, and Smerdon 2022)</w:t>
      </w:r>
      <w:r>
        <w:t xml:space="preserve">. Forest structure in Northern Arizona has changed significantly post-Euro-American settlement. Many forests are overstocked relative to pre-settlement conditions due to grazing, logging, and wildfire exclusion</w:t>
      </w:r>
      <w:r>
        <w:t xml:space="preserve"> </w:t>
      </w:r>
      <w:r>
        <w:t xml:space="preserve">(Covington and Moore 1994; Friederici 2013)</w:t>
      </w:r>
      <w:r>
        <w:t xml:space="preserve">. These changes have increased the risk of catastrophic wildfires</w:t>
      </w:r>
      <w:r>
        <w:t xml:space="preserve"> </w:t>
      </w:r>
      <w:r>
        <w:t xml:space="preserve">(Allen et al. 2002)</w:t>
      </w:r>
      <w:r>
        <w:t xml:space="preserve"> </w:t>
      </w:r>
      <w:r>
        <w:t xml:space="preserve">post-fire flooding, and debris flows</w:t>
      </w:r>
      <w:r>
        <w:t xml:space="preserve"> </w:t>
      </w:r>
      <w:r>
        <w:t xml:space="preserve">(Youberg et al. 2019)</w:t>
      </w:r>
      <w:r>
        <w:t xml:space="preserve">. Rising temperatures and droughts have contributed to extensive tree mortality from disease and insect infestation, making forested areas more vulnerable to wildfires and altering natural fire regimes, leading to hotter and more destructive wildfires</w:t>
      </w:r>
      <w:r>
        <w:t xml:space="preserve"> </w:t>
      </w:r>
      <w:r>
        <w:t xml:space="preserve">(Berner et al. 2017; Wasserman and Mueller 2023)</w:t>
      </w:r>
      <w:r>
        <w:t xml:space="preserve">.</w:t>
      </w:r>
    </w:p>
    <w:p>
      <w:pPr>
        <w:pStyle w:val="BodyText"/>
      </w:pPr>
      <w:r>
        <w:t xml:space="preserve">Forest treatments such as mechanical thinning and prescribed burning can reduce the risk of catastrophic wildfires and alter forests’ hydrologic cycles</w:t>
      </w:r>
      <w:r>
        <w:t xml:space="preserve"> </w:t>
      </w:r>
      <w:r>
        <w:t xml:space="preserve">(Allen et al. 2002; Del Campo et al. 2022)</w:t>
      </w:r>
      <w:r>
        <w:t xml:space="preserve">. For example, forest thinning in Arizona has been associated with increased snow cover days</w:t>
      </w:r>
      <w:r>
        <w:t xml:space="preserve"> </w:t>
      </w:r>
      <w:r>
        <w:t xml:space="preserve">(Sankey et al. 2015; Belmonte et al. 2021; Donager et al. 2021)</w:t>
      </w:r>
      <w:r>
        <w:t xml:space="preserve">, greater soil moisture</w:t>
      </w:r>
      <w:r>
        <w:t xml:space="preserve"> </w:t>
      </w:r>
      <w:r>
        <w:t xml:space="preserve">(Belmonte et al. 2022; Sankey and Tatum 2022)</w:t>
      </w:r>
      <w:r>
        <w:t xml:space="preserve">, and greater forest canopy moisture</w:t>
      </w:r>
      <w:r>
        <w:t xml:space="preserve"> </w:t>
      </w:r>
      <w:r>
        <w:t xml:space="preserve">(Sankey et al. 2021)</w:t>
      </w:r>
      <w:r>
        <w:t xml:space="preserve">.</w:t>
      </w:r>
    </w:p>
    <w:p>
      <w:pPr>
        <w:pStyle w:val="BodyText"/>
      </w:pPr>
      <w:r>
        <w:t xml:space="preserve">Numerous studies have linked forest treatments to increased water yields in semi-arid forests and have emphasized the role of forest thinning in improving hydrologic services and increasing water availability</w:t>
      </w:r>
      <w:r>
        <w:t xml:space="preserve"> </w:t>
      </w:r>
      <w:r>
        <w:t xml:space="preserve">(Bosch and Hewlett 1982; Baker 1986; Gottfried 1991; Smerdon, Redding, and Beckers 2009; Zou, Ffolliott, and Wine 2010; C. J. W. Wyatt 2013a; Moreno et al. 2015; Simonit et al. 2015; C. Wyatt, O’Donnell, and Abraham E. Springer 2015; O’Donnell et al. 2018; Hibbert 1979)</w:t>
      </w:r>
      <w:r>
        <w:t xml:space="preserve">. While the connection between forest treatment and water yield is well documented, the response of forests to treatments is complex and non-linear and differs across forest types, with treatment level, and along aspect and elevational gradients</w:t>
      </w:r>
      <w:r>
        <w:t xml:space="preserve"> </w:t>
      </w:r>
      <w:r>
        <w:t xml:space="preserve">(Del Campo et al. 2022; Joel A. Biederman et al. 2022; Zou, Ffolliott, and Wine 2010; Hibbert 1979; Moore and Wondzell 2005)</w:t>
      </w:r>
      <w:r>
        <w:t xml:space="preserve">.</w:t>
      </w:r>
    </w:p>
    <w:p>
      <w:pPr>
        <w:pStyle w:val="BodyText"/>
      </w:pPr>
      <w:r>
        <w:t xml:space="preserve">Regardless of the potential for increased water yield, the enhancement of groundwater recharge rarely, if ever, ranks among the primary motivations for forest treatment, even among projects with the stated goal of improving watershed health</w:t>
      </w:r>
      <w:r>
        <w:t xml:space="preserve"> </w:t>
      </w:r>
      <w:r>
        <w:t xml:space="preserve">(Stanturf, Palik, and Dumroese 2014; Filoso et al. 2017; Allen et al. 2002; Friederici 2013; O’Donnell 2016)</w:t>
      </w:r>
      <w:r>
        <w:t xml:space="preserve">. Responses from surveys of public willingness to pay for forest restoration to enhance groundwater recharge were the lowest among the environmental services discussed in the study, behind critical habitat protections, surface water quality improvements, and the preservation of cultural values</w:t>
      </w:r>
      <w:r>
        <w:t xml:space="preserve">(Mueller, Soder, and Springer 2019; Soder et al. 2022)</w:t>
      </w:r>
      <w:r>
        <w:t xml:space="preserve">. This suggests that groundwater recharge may be considered the least valued among other hydrologic services when considered as stand-alone services and may indicate that the general public is unaware of the complex interdependence between groundwater and surface water</w:t>
      </w:r>
      <w:r>
        <w:t xml:space="preserve"> </w:t>
      </w:r>
      <w:r>
        <w:t xml:space="preserve">(Mueller, Soder, and Springer 2019)</w:t>
      </w:r>
      <w:r>
        <w:t xml:space="preserve">. Groundwater is difficult to measure and visualize, so it is often undervalued and misunderstood</w:t>
      </w:r>
      <w:r>
        <w:t xml:space="preserve"> </w:t>
      </w:r>
      <w:r>
        <w:t xml:space="preserve">(Campana 2014; Megdal et al. 2014)</w:t>
      </w:r>
      <w:r>
        <w:t xml:space="preserve">.</w:t>
      </w:r>
    </w:p>
    <w:p>
      <w:pPr>
        <w:pStyle w:val="BodyText"/>
      </w:pPr>
      <w:r>
        <w:t xml:space="preserve">Forest health and water security are intimately linked. About 66% of the water supply in 11 western states comes from forested lands</w:t>
      </w:r>
      <w:r>
        <w:t xml:space="preserve"> </w:t>
      </w:r>
      <w:r>
        <w:t xml:space="preserve">(Brown, Hobbins, and Ramirez 2005)</w:t>
      </w:r>
      <w:r>
        <w:t xml:space="preserve">. Despite this, land, surface water, and groundwater are still managed separately. The Western Water Network (WWN) identified the need to promote better collaboration between researchers, managers, educators, industry, and stakeholders across the American West</w:t>
      </w:r>
      <w:r>
        <w:t xml:space="preserve"> </w:t>
      </w:r>
      <w:r>
        <w:t xml:space="preserve">(Hansen et al. 2024)</w:t>
      </w:r>
      <w:r>
        <w:t xml:space="preserve">.</w:t>
      </w:r>
    </w:p>
    <w:p>
      <w:pPr>
        <w:pStyle w:val="BodyText"/>
      </w:pPr>
      <w:r>
        <w:t xml:space="preserve">This study uses an ecohydrological lens to link insights from multiple fields to examine forest restoration to groundwater recharge enhancement, and aims to identify potential recharge zones. Specifically, we demonstrate a suitability mapping approach using multi-criteria decision analysis (MCDA) to identify areas where forest thinning may enhance recharge as an additional benefit. Suitability maps like these may complement (or supplement) existing frameworks for jointly prioritizing landscape-scale forest management and managing lands and water.</w:t>
      </w:r>
    </w:p>
    <w:p>
      <w:pPr>
        <w:pStyle w:val="BodyText"/>
      </w:pPr>
      <w:r>
        <w:t xml:space="preserve">MCDA has long been used in forest management for strategic (long-term, organizational) and tactical (annual) planning</w:t>
      </w:r>
      <w:r>
        <w:t xml:space="preserve"> </w:t>
      </w:r>
      <w:r>
        <w:t xml:space="preserve">(Blagojević et al. 2019; Mendoza and Martins 2006)</w:t>
      </w:r>
      <w:r>
        <w:t xml:space="preserve">. MCDA in combination with GIS, hereafter GIS-MCDA, is a methodology that combines geographical data and value judgments to support decision-making</w:t>
      </w:r>
      <w:r>
        <w:t xml:space="preserve"> </w:t>
      </w:r>
      <w:r>
        <w:t xml:space="preserve">(Malczewski 2006)</w:t>
      </w:r>
      <w:r>
        <w:t xml:space="preserve">. Suitability mapping, particularly GIS-MCDA, has been widely used to map potential recharge zones and areas suitable for Managed Aquifer Recharge (MAR)</w:t>
      </w:r>
      <w:r>
        <w:t xml:space="preserve">(Fathi et al. 2021; Raja Shekar and Mathew 2023; Rahman et al. 2012; Shaban, Khawlie, and Abdallah 2006)</w:t>
      </w:r>
      <w:r>
        <w:t xml:space="preserve">. However, this study is the first to examine where forest thinning may be sited to enhance recharge at a landscape scale.</w:t>
      </w:r>
    </w:p>
    <w:bookmarkStart w:id="24" w:name="study-area"/>
    <w:p>
      <w:pPr>
        <w:pStyle w:val="Heading2"/>
      </w:pPr>
      <w:r>
        <w:t xml:space="preserve">1.1 Study Area</w:t>
      </w:r>
    </w:p>
    <w:p>
      <w:pPr>
        <w:pStyle w:val="FirstParagraph"/>
      </w:pPr>
      <w:r>
        <w:t xml:space="preserve">Our study area includes all of the HUC8 (Hydrologic Unit Code 8) watersheds of Arizona, extending into 5 other U.S. states. The portions of HUC8 watersheds in Mexico were excluded due to a lack of data. However, within that study area, we focus on the ponderosa pine (PIPO) woodland type, which covers approximately 1.8 million</w:t>
      </w:r>
      <w:r>
        <w:t xml:space="preserve"> </w:t>
      </w:r>
      <w:r>
        <w:rPr>
          <w:i/>
          <w:iCs/>
        </w:rPr>
        <w:t xml:space="preserve">ha</w:t>
      </w:r>
      <w:r>
        <w:t xml:space="preserve"> </w:t>
      </w:r>
      <w:r>
        <w:t xml:space="preserve">(1,835,530.65) of this area, comprising 28% of the forested area within its bounds. Most PIPO forest is found along the Mogollon Rim, around the San Francisco Peaks, and on the Kaibab Plateau–all within the Colorado Plateau physiographic region at elevations between 2000</w:t>
      </w:r>
      <w:r>
        <w:t xml:space="preserve"> </w:t>
      </w:r>
      <w:r>
        <w:rPr>
          <w:i/>
          <w:iCs/>
        </w:rPr>
        <w:t xml:space="preserve">m</w:t>
      </w:r>
      <w:r>
        <w:t xml:space="preserve"> </w:t>
      </w:r>
      <w:r>
        <w:t xml:space="preserve">and 2400</w:t>
      </w:r>
      <w:r>
        <w:t xml:space="preserve"> </w:t>
      </w:r>
      <w:r>
        <w:rPr>
          <w:i/>
          <w:iCs/>
        </w:rPr>
        <w:t xml:space="preserve">m</w:t>
      </w:r>
      <w:r>
        <w:t xml:space="preserve">. Smaller isolated patches of PIPO forest can be found on mountain ranges and plateaus throughout Arizona at similar elevations (</w:t>
      </w:r>
      <w:hyperlink w:anchor="fig-studyarea">
        <w:r>
          <w:rPr>
            <w:rStyle w:val="Hyperlink"/>
          </w:rPr>
          <w:t xml:space="preserve">Figure 1</w:t>
        </w:r>
      </w:hyperlink>
      <w:r>
        <w:t xml:space="preserve"> </w:t>
      </w:r>
      <w:r>
        <w:t xml:space="preserve">).</w:t>
      </w:r>
    </w:p>
    <w:p>
      <w:pPr>
        <w:pStyle w:val="BodyText"/>
      </w:pPr>
      <w:r>
        <w:t xml:space="preserve">The Mogollon Rim is a topographic feature forming the southern edge of the Colorado Plateau. It contains most of the state’s PIPO forests and has been identified as an essential groundwater recharge area for regional aquifers</w:t>
      </w:r>
      <w:r>
        <w:t xml:space="preserve"> </w:t>
      </w:r>
      <w:r>
        <w:t xml:space="preserve">(J. T. C. Parker, Steinkampf, and Flynn 2005)</w:t>
      </w:r>
      <w:r>
        <w:t xml:space="preserve">. Of the estimated 2.1 billion</w:t>
      </w:r>
      <w:r>
        <w:t xml:space="preserve"> </w:t>
      </w:r>
      <w:r>
        <w:rPr>
          <w:i/>
          <w:iCs/>
        </w:rPr>
        <w:t xml:space="preserve">m</w:t>
      </w:r>
      <w:r>
        <w:rPr>
          <w:i/>
          <w:iCs/>
          <w:vertAlign w:val="superscript"/>
        </w:rPr>
        <w:t xml:space="preserve">3</w:t>
      </w:r>
      <w:r>
        <w:t xml:space="preserve"> </w:t>
      </w:r>
      <w:r>
        <w:t xml:space="preserve">(174,000 acre-feet) of precipitation that falls on the Mogollon Rim annually, about 8% is estimated to recharge the regional groundwater aquifers</w:t>
      </w:r>
      <w:r>
        <w:t xml:space="preserve">(J. T. C. Parker, Steinkampf, and Flynn 2005)</w:t>
      </w:r>
      <w:r>
        <w:t xml:space="preserve"> </w:t>
      </w:r>
      <w:r>
        <w:t xml:space="preserve">Similarly, The Kaibab Plateau, an uplifted region north of the Grand Canyon with large stands of PIPO, is a critically important recharge area for springs in the Grand Canyon which provide the sole source of drinking water for over 6 million annual visitors and the residents of Grand Canyon National Park</w:t>
      </w:r>
      <w:r>
        <w:t xml:space="preserve">(Tobin et al. 2018)</w:t>
      </w:r>
      <w:r>
        <w:t xml:space="preserve">. The Kaibab Plateau lacks perennial surface streams and is drained rapidly by sinkholes, faults, and fractures or more slowly through diffuse infiltration with little streamflow leaving the plateau</w:t>
      </w:r>
      <w:r>
        <w:t xml:space="preserve"> </w:t>
      </w:r>
      <w:r>
        <w:t xml:space="preserve">(C. J. R. Jones et al. 2018; Huntoon 1974)</w:t>
      </w:r>
      <w:r>
        <w:t xml:space="preserve">.</w:t>
      </w:r>
    </w:p>
    <w:p>
      <w:pPr>
        <w:pStyle w:val="BodyText"/>
      </w:pPr>
      <w:r>
        <w:t xml:space="preserve">Most of the PIPO forests within Arizona are within the Kaibab, Coconino, Apache-Sitgreaves, Tonto National Forests, The Fort Apache Reservation, and Navajo Nation. Precipitation in Arizona is bi-modal, with wet winters and a late-summer monsoon season. As much as 60% of precipitation at elevations above 2000</w:t>
      </w:r>
      <w:r>
        <w:t xml:space="preserve"> </w:t>
      </w:r>
      <w:r>
        <w:rPr>
          <w:i/>
          <w:iCs/>
        </w:rPr>
        <w:t xml:space="preserve">m</w:t>
      </w:r>
      <w:r>
        <w:t xml:space="preserve"> </w:t>
      </w:r>
      <w:r>
        <w:t xml:space="preserve">comes in the form of snow, and snow is responsible for 80 - 95% of streamflow and much of the recharge</w:t>
      </w:r>
      <w:r>
        <w:t xml:space="preserve"> </w:t>
      </w:r>
      <w:r>
        <w:t xml:space="preserve">(Baker 2013; Eastoe 2023; Earman et al. 2006)</w:t>
      </w:r>
      <w:r>
        <w:t xml:space="preserve">. Therefore, this research focuses on high-elevation (&gt;= 2000</w:t>
      </w:r>
      <w:r>
        <w:t xml:space="preserve"> </w:t>
      </w:r>
      <w:r>
        <w:rPr>
          <w:i/>
          <w:iCs/>
        </w:rPr>
        <w:t xml:space="preserve">m</w:t>
      </w:r>
      <w:r>
        <w:t xml:space="preserve">) PIPO forests, which receive a high proportion of annual precipitation as snow. Of the 1.8 million</w:t>
      </w:r>
      <w:r>
        <w:t xml:space="preserve"> </w:t>
      </w:r>
      <w:r>
        <w:rPr>
          <w:i/>
          <w:iCs/>
        </w:rPr>
        <w:t xml:space="preserve">ha</w:t>
      </w:r>
      <w:r>
        <w:t xml:space="preserve"> </w:t>
      </w:r>
      <w:r>
        <w:t xml:space="preserve">of PIPO forests in our study area, about 43% or 790,000</w:t>
      </w:r>
      <w:r>
        <w:t xml:space="preserve"> </w:t>
      </w:r>
      <w:r>
        <w:rPr>
          <w:i/>
          <w:iCs/>
        </w:rPr>
        <w:t xml:space="preserve">ha</w:t>
      </w:r>
      <w:r>
        <w:t xml:space="preserve"> </w:t>
      </w:r>
      <w:r>
        <w:t xml:space="preserve">are underlain by lithologies that may include karst or pseudo-karst features, including carbonates (24%), evaporates (6%), and fractured volcanics (13%). These areas merit extra attention due to enhanced infiltration potential through fractures, faults, lava tubes, or sinkholes.</w:t>
      </w:r>
    </w:p>
    <w:tbl>
      <w:tblPr>
        <w:tblStyle w:val="Table"/>
        <w:tblW w:type="pct" w:w="5000"/>
        <w:tblLayout w:type="fixed"/>
        <w:tblLook w:firstRow="0" w:lastRow="0" w:firstColumn="0" w:lastColumn="0" w:noHBand="0" w:noVBand="0" w:val="0000"/>
      </w:tblPr>
      <w:tblGrid>
        <w:gridCol w:w="7920"/>
      </w:tblGrid>
      <w:tr>
        <w:tc>
          <w:tcPr/>
          <w:bookmarkStart w:id="23" w:name="fig-studyarea"/>
          <w:p>
            <w:pPr>
              <w:pStyle w:val="Compact"/>
              <w:jc w:val="center"/>
            </w:pPr>
            <w:r>
              <w:drawing>
                <wp:inline>
                  <wp:extent cx="5334000" cy="4667250"/>
                  <wp:effectExtent b="0" l="0" r="0" t="0"/>
                  <wp:docPr descr="" title="" id="21" name="Picture"/>
                  <a:graphic>
                    <a:graphicData uri="http://schemas.openxmlformats.org/drawingml/2006/picture">
                      <pic:pic>
                        <pic:nvPicPr>
                          <pic:cNvPr descr="images/fig-studyarea.jpg" id="22" name="Picture"/>
                          <pic:cNvPicPr>
                            <a:picLocks noChangeArrowheads="1" noChangeAspect="1"/>
                          </pic:cNvPicPr>
                        </pic:nvPicPr>
                        <pic:blipFill>
                          <a:blip r:embed="rId20"/>
                          <a:stretch>
                            <a:fillRect/>
                          </a:stretch>
                        </pic:blipFill>
                        <pic:spPr bwMode="auto">
                          <a:xfrm>
                            <a:off x="0" y="0"/>
                            <a:ext cx="5334000" cy="4667250"/>
                          </a:xfrm>
                          <a:prstGeom prst="rect">
                            <a:avLst/>
                          </a:prstGeom>
                          <a:noFill/>
                          <a:ln w="9525">
                            <a:noFill/>
                            <a:headEnd/>
                            <a:tailEnd/>
                          </a:ln>
                        </pic:spPr>
                      </pic:pic>
                    </a:graphicData>
                  </a:graphic>
                </wp:inline>
              </w:drawing>
            </w:r>
          </w:p>
          <w:p>
            <w:pPr>
              <w:jc w:val="center"/>
            </w:pPr>
            <w:pPr>
              <w:jc w:val="start"/>
              <w:spacing w:before="200"/>
              <w:pStyle w:val="ImageCaption"/>
            </w:pPr>
            <w:r>
              <w:t xml:space="preserve">Figure 1: Study area reference map with an emphasis on high elevation (dark gray), Colorado Plateau (beige area), Native reservation land (dotted) and the distribution of PIPO-dominated forests (green) considered by this analysis.</w:t>
            </w:r>
          </w:p>
          <w:bookmarkEnd w:id="23"/>
        </w:tc>
      </w:tr>
    </w:tbl>
    <w:bookmarkEnd w:id="24"/>
    <w:bookmarkStart w:id="25" w:name="sec-lit"/>
    <w:p>
      <w:pPr>
        <w:pStyle w:val="Heading2"/>
      </w:pPr>
      <w:r>
        <w:t xml:space="preserve">1.2 Literature Review and Criteria</w:t>
      </w:r>
    </w:p>
    <w:p>
      <w:pPr>
        <w:pStyle w:val="FirstParagraph"/>
      </w:pPr>
      <w:r>
        <w:t xml:space="preserve">This research aims to identify areas where mechanical thinning is most likely to enhance groundwater recharge. We based our suitability criteria on literature primarily from regional studies, as they likely provide usful information about hydrologic response to thinning in Arizona’s forests</w:t>
      </w:r>
      <w:r>
        <w:t xml:space="preserve"> </w:t>
      </w:r>
      <w:r>
        <w:t xml:space="preserve">(C. J. W. Wyatt 2013b)</w:t>
      </w:r>
      <w:r>
        <w:t xml:space="preserve">. Landscape-scale forest restoration efforts have been planned or implemented across much of Arizona. For example, the Four Forest Restoration Initiative (4FRI) includes a goal of restoring over 1 million hectares of Arizona’s forests</w:t>
      </w:r>
      <w:r>
        <w:t xml:space="preserve"> </w:t>
      </w:r>
      <w:r>
        <w:t xml:space="preserve">(Schultz, Jedd, and Beam 2012)</w:t>
      </w:r>
      <w:r>
        <w:t xml:space="preserve">. A synthesis study of 4FRI treatments found that thinned and burned forests have significantly greater total ecosystem moisture and are thus more resilient to drought and wildfire</w:t>
      </w:r>
      <w:r>
        <w:t xml:space="preserve"> </w:t>
      </w:r>
      <w:r>
        <w:t xml:space="preserve">(Sankey and Tatum 2022; Sankey et al. 2021)</w:t>
      </w:r>
      <w:r>
        <w:t xml:space="preserve">. Thinned forests also have more snow and soil moisture</w:t>
      </w:r>
      <w:r>
        <w:t xml:space="preserve"> </w:t>
      </w:r>
      <w:r>
        <w:t xml:space="preserve">(O’Donnell et al. 2021; Belmonte et al. 2022)</w:t>
      </w:r>
      <w:r>
        <w:t xml:space="preserve">.</w:t>
      </w:r>
    </w:p>
    <w:p>
      <w:pPr>
        <w:pStyle w:val="BodyText"/>
      </w:pPr>
      <w:r>
        <w:t xml:space="preserve">Snow and its persistence appear particularly important for recharge in Arizona’s semi-arid and high-elevation conifer forests. An analysis of groundwater coming from springs along the Mogollon rim found a strong relationship between snow persistence and the duration of spring discharge</w:t>
      </w:r>
      <w:r>
        <w:t xml:space="preserve"> </w:t>
      </w:r>
      <w:r>
        <w:t xml:space="preserve">(Donovan et al. 2022)</w:t>
      </w:r>
      <w:r>
        <w:t xml:space="preserve">. Isotopic groundwater analyses have revealed that Northern Arizona’s recharge is dominated by winter precipitation from altitudes above 1500 m</w:t>
      </w:r>
      <w:r>
        <w:t xml:space="preserve">(Eastoe 2023; Earman et al. 2006; Blasch et al. 2006; Springer, Boldt, and Junghans 2017)</w:t>
      </w:r>
      <w:r>
        <w:t xml:space="preserve">. Studies of plant water use have found that larger PIPO trees primarily utilize deeper soil moisture from winter precipitation, while understory vegetation and smaller trees utilize shallow soil water from monsoonal storms</w:t>
      </w:r>
      <w:r>
        <w:t xml:space="preserve">(Kerhoulas, Kolb, and Koch 2013; Kerhoulas, Umstattd, and Koch 2023)</w:t>
      </w:r>
      <w:r>
        <w:t xml:space="preserve">.</w:t>
      </w:r>
    </w:p>
    <w:p>
      <w:pPr>
        <w:pStyle w:val="BodyText"/>
      </w:pPr>
      <w:r>
        <w:t xml:space="preserve">Thinning in PIPO forests is expected to increase available water in two ways: 1) reducing transpiration of deep soil water by overstory vegetation and 2) reducing sublimation of intercepted snowfall, which could increase below canopy snow depth and persistence. Thinning in semi-arid forested watersheds can significantly alter snowmelt timing</w:t>
      </w:r>
      <w:r>
        <w:t xml:space="preserve"> </w:t>
      </w:r>
      <w:r>
        <w:t xml:space="preserve">(Dwivedi et al. 2024b)</w:t>
      </w:r>
      <w:r>
        <w:t xml:space="preserve">. Reduced forest cover can delay snowmelt at colder sites, higher elevations, and northern aspects or advance snowmelt through increasing sub-canopy solar radiation and wind, particularly at lower elevations, southern aspects, and warmer sites</w:t>
      </w:r>
      <w:r>
        <w:t xml:space="preserve"> </w:t>
      </w:r>
      <w:r>
        <w:t xml:space="preserve">(Joel A. Biederman et al. 2015; Dwivedi et al. 2024b)</w:t>
      </w:r>
      <w:r>
        <w:t xml:space="preserve">.</w:t>
      </w:r>
    </w:p>
    <w:p>
      <w:pPr>
        <w:pStyle w:val="BodyText"/>
      </w:pPr>
      <w:r>
        <w:t xml:space="preserve">Total annual precipitation also appears to influence whether thinning reduces or enhances water yield at particular sites. In the Colorado River Basin, there appears to be a precipitation threshold for hydrologic responses. Below ~500</w:t>
      </w:r>
      <w:r>
        <w:t xml:space="preserve"> </w:t>
      </w:r>
      <w:r>
        <w:rPr>
          <w:i/>
          <w:iCs/>
        </w:rPr>
        <w:t xml:space="preserve">mm</w:t>
      </w:r>
      <w:r>
        <w:t xml:space="preserve"> </w:t>
      </w:r>
      <w:r>
        <w:t xml:space="preserve">of annual precipitation, precipitation and runoff may become decoupled</w:t>
      </w:r>
      <w:r>
        <w:t xml:space="preserve"> </w:t>
      </w:r>
      <w:r>
        <w:t xml:space="preserve">(Joel A. Biederman et al. 2022)</w:t>
      </w:r>
      <w:r>
        <w:t xml:space="preserve">, likely because below ~500</w:t>
      </w:r>
      <w:r>
        <w:t xml:space="preserve"> </w:t>
      </w:r>
      <w:r>
        <w:rPr>
          <w:i/>
          <w:iCs/>
        </w:rPr>
        <w:t xml:space="preserve">mm</w:t>
      </w:r>
      <w:r>
        <w:t xml:space="preserve">, most precipitation is evaporated regardless of forest condition. Semi-arid forests with high inter-annual precipitation variability may show effects in wet years when precipitation is greater than ~500</w:t>
      </w:r>
      <w:r>
        <w:t xml:space="preserve"> </w:t>
      </w:r>
      <w:r>
        <w:rPr>
          <w:i/>
          <w:iCs/>
        </w:rPr>
        <w:t xml:space="preserve">mm</w:t>
      </w:r>
      <w:r>
        <w:t xml:space="preserve"> </w:t>
      </w:r>
      <w:r>
        <w:t xml:space="preserve">or in snow-dominant watersheds</w:t>
      </w:r>
      <w:r>
        <w:t xml:space="preserve"> </w:t>
      </w:r>
      <w:r>
        <w:t xml:space="preserve">(Adams et al. 2012; Carroll et al. 2016)</w:t>
      </w:r>
      <w:r>
        <w:t xml:space="preserve">.</w:t>
      </w:r>
    </w:p>
    <w:p>
      <w:pPr>
        <w:pStyle w:val="BodyText"/>
      </w:pPr>
      <w:r>
        <w:t xml:space="preserve">Reductions in canopy cover can reduce transpiration losses and decrease soil moisture stress</w:t>
      </w:r>
      <w:r>
        <w:t xml:space="preserve"> </w:t>
      </w:r>
      <w:r>
        <w:t xml:space="preserve">(Frank et al. 2019; O’Donnell et al. 2021; Knowles et al. 2023; Sankey and Tatum 2022)</w:t>
      </w:r>
      <w:r>
        <w:t xml:space="preserve"> </w:t>
      </w:r>
      <w:r>
        <w:t xml:space="preserve">or increase surface evaporation and sublimation depending on the elevation, aspect, and the amount of canopy removed</w:t>
      </w:r>
      <w:r>
        <w:t xml:space="preserve"> </w:t>
      </w:r>
      <w:r>
        <w:t xml:space="preserve">(Harpold et al. 2013; Dwivedi et al. 2024a; J. A. Biederman et al. 2014)</w:t>
      </w:r>
      <w:r>
        <w:t xml:space="preserve">. Canopy cover between 25% and 40% appears optimal for net snow accumulation at continental mid-latitude sites</w:t>
      </w:r>
      <w:r>
        <w:t xml:space="preserve"> </w:t>
      </w:r>
      <w:r>
        <w:t xml:space="preserve">(Veatch et al. 2009)</w:t>
      </w:r>
      <w:r>
        <w:t xml:space="preserve">, though this is dependent on elevation and aspect, with lower forest densities being optimal areas with shorter snowpack duration (such as low elevations) and higher forest densities being optimal for areas with longer snowpack duration</w:t>
      </w:r>
      <w:r>
        <w:t xml:space="preserve"> </w:t>
      </w:r>
      <w:r>
        <w:t xml:space="preserve">(P. D. Broxton, Leeuwen, and Biederman 2020)</w:t>
      </w:r>
      <w:r>
        <w:t xml:space="preserve">. UAV-based studies within the study area have shown that 24 - 35% canopy cover was optimal for snow persistence.</w:t>
      </w:r>
      <w:r>
        <w:t xml:space="preserve"> </w:t>
      </w:r>
      <w:r>
        <w:t xml:space="preserve">(Donager et al. 2021; Sankey et al. 2015; Belmonte et al. 2021)</w:t>
      </w:r>
      <w:r>
        <w:t xml:space="preserve">. However, water yield enhancement from thinning likely requires at least a 20% reduction in canopy cover</w:t>
      </w:r>
      <w:r>
        <w:t xml:space="preserve"> </w:t>
      </w:r>
      <w:r>
        <w:t xml:space="preserve">(Adams et al. 2012)</w:t>
      </w:r>
      <w:r>
        <w:t xml:space="preserve">. Hydrologic models in northern Arizona watersheds suggest that reductions in basal area of at least 30% can increase groundwater recharge by up to 15%</w:t>
      </w:r>
      <w:r>
        <w:t xml:space="preserve"> </w:t>
      </w:r>
      <w:r>
        <w:t xml:space="preserve">(C. Wyatt, O’Donnell, and Abraham E. Springer 2015)</w:t>
      </w:r>
      <w:r>
        <w:t xml:space="preserve">.</w:t>
      </w:r>
    </w:p>
    <w:p>
      <w:pPr>
        <w:pStyle w:val="BodyText"/>
      </w:pPr>
      <w:r>
        <w:t xml:space="preserve">Research on the effect of thinning to below-ground hydrological processes in semi-arid Mediterranean forests found that sites with high antecedent soil moisture had the highest response, with drainage to deeper soil layers increasing by 50</w:t>
      </w:r>
      <w:r>
        <w:t xml:space="preserve"> </w:t>
      </w:r>
      <w:r>
        <w:rPr>
          <w:i/>
          <w:iCs/>
        </w:rPr>
        <w:t xml:space="preserve">mm/year</w:t>
      </w:r>
      <w:r>
        <w:t xml:space="preserve"> </w:t>
      </w:r>
      <w:r>
        <w:t xml:space="preserve">relative to control sites</w:t>
      </w:r>
      <w:r>
        <w:t xml:space="preserve">(Del Campo et al. 2019)</w:t>
      </w:r>
      <w:r>
        <w:t xml:space="preserve">. Soil type (texture, composition, field capacity, and permeability) and topography affect soil moisture conditions. Slope, aspect, landscape convexity or concavity, and geomorphons (or landform types) such as pits, flats, hills, valleys, ridges, and hollows strongly affect the accumulation and residence time of overland flow and shallow soil water</w:t>
      </w:r>
      <w:r>
        <w:t xml:space="preserve"> </w:t>
      </w:r>
      <w:r>
        <w:t xml:space="preserve">(A. J. Parker 1982; Jasiewicz and Stepinski 2013)</w:t>
      </w:r>
      <w:r>
        <w:t xml:space="preserve">. In dry soils, capillary forces generally dominate over gravitational forces, and areas with higher flow accumulation and residence time are more likely to reach field capacity, leading to more percolation</w:t>
      </w:r>
      <w:r>
        <w:t xml:space="preserve"> </w:t>
      </w:r>
      <w:r>
        <w:t xml:space="preserve">(Woessner and Poeter 2020)</w:t>
      </w:r>
      <w:r>
        <w:t xml:space="preserve">.</w:t>
      </w:r>
    </w:p>
    <w:p>
      <w:pPr>
        <w:pStyle w:val="BodyText"/>
      </w:pPr>
      <w:r>
        <w:t xml:space="preserve">Another important aspect affecting recharge enhancement potential is the underlying lithology, which controls the subsurface flow of groundwater. Arizona currently lacks detailed hydrogeologic mapping. However, representative ranges of primary (matrix) permeability and porosity values for rock types are available based on 1:1,000,000 and 1:500,000 geologic mapping data</w:t>
      </w:r>
      <w:r>
        <w:t xml:space="preserve">(Huscroft et al. 2018; Freeze and Cherry 1979; Woessner and Poeter 2020)</w:t>
      </w:r>
      <w:r>
        <w:t xml:space="preserve">. Secondary permeability and porosity, which involve flow in faults and fractures, can be estimated by measuring the density of linear surface features, or</w:t>
      </w:r>
      <w:r>
        <w:t xml:space="preserve"> </w:t>
      </w:r>
      <w:r>
        <w:t xml:space="preserve">‘lineaments,’</w:t>
      </w:r>
      <w:r>
        <w:t xml:space="preserve"> </w:t>
      </w:r>
      <w:r>
        <w:t xml:space="preserve">which often correspond to underlying geologic structures</w:t>
      </w:r>
      <w:r>
        <w:t xml:space="preserve"> </w:t>
      </w:r>
      <w:r>
        <w:t xml:space="preserve">(O’leary, Friedman, and Pohn 1976; Sander 2007)</w:t>
      </w:r>
      <w:r>
        <w:t xml:space="preserve">. Lineaments have been used to identify potential groundwater supplies, and studies have found higher well yields along lineaments</w:t>
      </w:r>
      <w:r>
        <w:t xml:space="preserve"> </w:t>
      </w:r>
      <w:r>
        <w:t xml:space="preserve">(Sander 2007)</w:t>
      </w:r>
      <w:r>
        <w:t xml:space="preserve">. In some crystalline bedrock, groundwater flow occurs exclusively in faults and fractures</w:t>
      </w:r>
      <w:r>
        <w:t xml:space="preserve"> </w:t>
      </w:r>
      <w:r>
        <w:t xml:space="preserve">(Meijerink, Bannert, and Batelaan 2007; Nyborg, Berglund, and Triumf 2007)</w:t>
      </w:r>
      <w:r>
        <w:t xml:space="preserve">. Orientations of lineaments can help determine the anisotropy of the fracture environment</w:t>
      </w:r>
      <w:r>
        <w:t xml:space="preserve">(Meijerink, Bannert, and Batelaan 2007)</w:t>
      </w:r>
      <w:r>
        <w:t xml:space="preserve">. Caves and sinkholes (or dolines) often form along and at the intersection of faults and fractures in karst terrains</w:t>
      </w:r>
      <w:r>
        <w:t xml:space="preserve"> </w:t>
      </w:r>
      <w:r>
        <w:t xml:space="preserve">(Ford and Williams 2007)</w:t>
      </w:r>
      <w:r>
        <w:t xml:space="preserve">. Karst and pseudo-karst terrains can have enhanced infiltration potential far beyond the hydraulic conductivity of the rock matrix</w:t>
      </w:r>
      <w:r>
        <w:t xml:space="preserve"> </w:t>
      </w:r>
      <w:r>
        <w:t xml:space="preserve">(Krešić 2013)</w:t>
      </w:r>
      <w:r>
        <w:t xml:space="preserve">. For example, the Edwards Aquifer in Texas was found to have permeability values that vary by up to nine orders of magnitude</w:t>
      </w:r>
      <w:r>
        <w:t xml:space="preserve"> </w:t>
      </w:r>
      <w:r>
        <w:t xml:space="preserve">(Halihan and Wicks 1998)</w:t>
      </w:r>
      <w:r>
        <w:t xml:space="preserve">. The presence or absence of karst or pseudo-karst in concert with lineament density is a critical criteria in our suitability analysis.</w:t>
      </w:r>
    </w:p>
    <w:p>
      <w:pPr>
        <w:pStyle w:val="BodyText"/>
      </w:pPr>
      <w:r>
        <w:t xml:space="preserve">In summary, suitable sites where thinning enhances recharge would most likely occur in areas with significant snowfall, maximum annual precipitation &gt;= 500</w:t>
      </w:r>
      <w:r>
        <w:t xml:space="preserve"> </w:t>
      </w:r>
      <w:r>
        <w:rPr>
          <w:i/>
          <w:iCs/>
        </w:rPr>
        <w:t xml:space="preserve">mm</w:t>
      </w:r>
      <w:r>
        <w:t xml:space="preserve">, higher antecedent soil moisture, NE aspects, in valleys or flat areas where a 20% reduction in canopy cover and a 30% reduction in basal area would result in a thinned canopy cover of between 25 and 35%. Suitability would be lowest in sites with minimal snowfall, SW aspects, lower elevations, ridge tops, or steep slopes, where thinning might reduce canopy cover to below 24%. Soil hydraulic conductivity, flow accumulation, and topographic metrics can reveal the areas likely to have higher antecedent soil moisture. Lithology, primary permeability and porosity, and lineament density can provide insight into where rapid subsurface infiltration is possible.</w:t>
      </w:r>
    </w:p>
    <w:bookmarkEnd w:id="25"/>
    <w:bookmarkEnd w:id="26"/>
    <w:bookmarkStart w:id="61" w:name="methods"/>
    <w:p>
      <w:pPr>
        <w:pStyle w:val="Heading1"/>
      </w:pPr>
      <w:r>
        <w:t xml:space="preserve">2. Methods</w:t>
      </w:r>
    </w:p>
    <w:p>
      <w:pPr>
        <w:pStyle w:val="FirstParagraph"/>
      </w:pPr>
      <w:r>
        <w:t xml:space="preserve">The MCDA-GIS suitability mapping process generally involves defining the objective, screening suitable areas, classifying thematic layers or criteria, standardizing, weighing, and sensitivity analysis</w:t>
      </w:r>
      <w:r>
        <w:t xml:space="preserve"> </w:t>
      </w:r>
      <w:r>
        <w:t xml:space="preserve">(Malczewski 2006; Mendoza and Martins 2006)</w:t>
      </w:r>
      <w:r>
        <w:t xml:space="preserve">. In this case, the objective is to determine the relative suitability of areas to achieve enhanced recharge through forest treatment. The criteria were selected based on a review of the literature in</w:t>
      </w:r>
      <w:r>
        <w:t xml:space="preserve"> </w:t>
      </w:r>
      <w:hyperlink w:anchor="sec-lit">
        <w:r>
          <w:rPr>
            <w:rStyle w:val="Hyperlink"/>
          </w:rPr>
          <w:t xml:space="preserve">Section 1.2</w:t>
        </w:r>
      </w:hyperlink>
      <w:r>
        <w:t xml:space="preserve"> </w:t>
      </w:r>
      <w:r>
        <w:t xml:space="preserve">. Standardization was achieved by scaling variables and final suitability on a scale of 1 - 10, from lowest to highest suitability, to facilitate straightforward interpretation. Weighting the relative contribution of 12 different variables, some likely exhibiting strong collinearity, through pairwise comparison would be complex. To address this challenge, similar variables were consildated into indices, which were subsequently weighted against each other, streamlining analysis and reducing redundancy.</w:t>
      </w:r>
    </w:p>
    <w:bookmarkStart w:id="53" w:name="suitability-criteria"/>
    <w:p>
      <w:pPr>
        <w:pStyle w:val="Heading2"/>
      </w:pPr>
      <w:r>
        <w:t xml:space="preserve">2.1 Suitability Criteria</w:t>
      </w:r>
    </w:p>
    <w:p>
      <w:pPr>
        <w:pStyle w:val="FirstParagraph"/>
      </w:pPr>
      <w:r>
        <w:t xml:space="preserve">We used ArcGIS Pro 3.4.0 to create a weighted suitability model consisting of the 12 thematic data layers (</w:t>
      </w:r>
      <w:hyperlink w:anchor="tbl-thematic">
        <w:r>
          <w:rPr>
            <w:rStyle w:val="Hyperlink"/>
          </w:rPr>
          <w:t xml:space="preserve">Table 1</w:t>
        </w:r>
      </w:hyperlink>
      <w:r>
        <w:t xml:space="preserve">). These data layers were re-scaled, weighted, and combined into four final thematic layers: (1) Snowfall fraction (SF), (2) Vegetation Density Index (VDI), (3) Soil Moisture and Infiltration Index (SMII), and (4) Subsurface Infiltration Index (SbII :</w:t>
      </w:r>
      <w:r>
        <w:t xml:space="preserve"> </w:t>
      </w:r>
      <w:hyperlink w:anchor="tbl-thematic">
        <w:r>
          <w:rPr>
            <w:rStyle w:val="Hyperlink"/>
          </w:rPr>
          <w:t xml:space="preserve">Table 1</w:t>
        </w:r>
      </w:hyperlink>
      <w:r>
        <w:t xml:space="preserve">) weights within and between indices were assigned using pairwise comparisons, and applied using weighted linear sums.</w:t>
      </w:r>
    </w:p>
    <w:tbl>
      <w:tblPr>
        <w:tblStyle w:val="Table"/>
        <w:tblW w:type="pct" w:w="5000"/>
        <w:tblLayout w:type="fixed"/>
        <w:tblLook w:firstRow="0" w:lastRow="0" w:firstColumn="0" w:lastColumn="0" w:noHBand="0" w:noVBand="0" w:val="0000"/>
      </w:tblPr>
      <w:tblGrid>
        <w:gridCol w:w="7920"/>
      </w:tblGrid>
      <w:tr>
        <w:tc>
          <w:tcPr/>
          <w:bookmarkStart w:id="27" w:name="tbl-thematic"/>
          <w:p>
            <w:pPr>
              <w:jc w:val="center"/>
            </w:pPr>
            <w:pPr>
              <w:jc w:val="start"/>
              <w:spacing w:before="200"/>
              <w:pStyle w:val="ImageCaption"/>
            </w:pPr>
            <w:r>
              <w:t xml:space="preserve">Table 1: Thematic Layers and Indices used for suitability mapping.</w:t>
            </w:r>
          </w:p>
          <w:tbl>
            <w:tblPr>
              <w:tblStyle w:val="Table"/>
              <w:tblW w:type="pct" w:w="5000"/>
              <w:tblLayout w:type="fixed"/>
              <w:tblLook w:firstRow="1" w:lastRow="0" w:firstColumn="0" w:lastColumn="0" w:noHBand="0" w:noVBand="0" w:val="0020"/>
            </w:tblPr>
            <w:tblGrid>
              <w:gridCol w:w="1584"/>
              <w:gridCol w:w="1584"/>
              <w:gridCol w:w="1584"/>
              <w:gridCol w:w="1584"/>
              <w:gridCol w:w="1584"/>
            </w:tblGrid>
            <w:tr>
              <w:trPr>
                <w:tblHeader w:val="on"/>
              </w:trPr>
              <w:tc>
                <w:tcPr/>
                <w:p>
                  <w:pPr>
                    <w:pStyle w:val="Compact"/>
                    <w:jc w:val="center"/>
                  </w:pPr>
                  <w:r>
                    <w:t xml:space="preserve">Thematic Layer</w:t>
                  </w:r>
                </w:p>
              </w:tc>
              <w:tc>
                <w:tcPr/>
                <w:p>
                  <w:pPr>
                    <w:pStyle w:val="Compact"/>
                    <w:jc w:val="center"/>
                  </w:pPr>
                  <w:r>
                    <w:t xml:space="preserve">Intermediate Index</w:t>
                  </w:r>
                </w:p>
              </w:tc>
              <w:tc>
                <w:tcPr/>
                <w:p>
                  <w:pPr>
                    <w:pStyle w:val="Compact"/>
                    <w:jc w:val="center"/>
                  </w:pPr>
                  <w:r>
                    <w:t xml:space="preserve">Scaled Variable</w:t>
                  </w:r>
                </w:p>
              </w:tc>
              <w:tc>
                <w:tcPr/>
                <w:p>
                  <w:pPr>
                    <w:pStyle w:val="Compact"/>
                    <w:jc w:val="center"/>
                  </w:pPr>
                  <w:r>
                    <w:t xml:space="preserve">Data Layers</w:t>
                  </w:r>
                </w:p>
              </w:tc>
              <w:tc>
                <w:tcPr/>
                <w:p>
                  <w:pPr>
                    <w:pStyle w:val="Compact"/>
                    <w:jc w:val="center"/>
                  </w:pPr>
                  <w:r>
                    <w:t xml:space="preserve">Source</w:t>
                  </w:r>
                </w:p>
              </w:tc>
            </w:tr>
            <w:tr>
              <w:tc>
                <w:tcPr/>
                <w:p>
                  <w:pPr>
                    <w:pStyle w:val="Compact"/>
                    <w:jc w:val="center"/>
                  </w:pPr>
                  <w:r>
                    <w:t xml:space="preserve">SF</w:t>
                  </w:r>
                </w:p>
              </w:tc>
              <w:tc>
                <w:tcPr/>
                <w:p>
                  <w:pPr>
                    <w:pStyle w:val="Compact"/>
                    <w:jc w:val="center"/>
                  </w:pPr>
                  <w:r>
                    <w:t xml:space="preserve">-</w:t>
                  </w:r>
                </w:p>
              </w:tc>
              <w:tc>
                <w:tcPr/>
                <w:p>
                  <w:pPr>
                    <w:pStyle w:val="Compact"/>
                    <w:jc w:val="center"/>
                  </w:pPr>
                  <w:r>
                    <w:t xml:space="preserve">sSF</w:t>
                  </w:r>
                </w:p>
              </w:tc>
              <w:tc>
                <w:tcPr/>
                <w:p>
                  <w:pPr>
                    <w:pStyle w:val="Compact"/>
                    <w:jc w:val="center"/>
                  </w:pPr>
                  <w:r>
                    <w:t xml:space="preserve">Snowfall Fraction</w:t>
                  </w:r>
                </w:p>
              </w:tc>
              <w:tc>
                <w:tcPr/>
                <w:p>
                  <w:pPr>
                    <w:pStyle w:val="Compact"/>
                    <w:jc w:val="center"/>
                  </w:pPr>
                  <w:r>
                    <w:t xml:space="preserve">UA SnowData (800m)</w:t>
                  </w:r>
                </w:p>
              </w:tc>
            </w:tr>
            <w:tr>
              <w:tc>
                <w:tcPr/>
                <w:p>
                  <w:pPr>
                    <w:pStyle w:val="Compact"/>
                    <w:jc w:val="center"/>
                  </w:pPr>
                  <w:r>
                    <w:t xml:space="preserve">VDI</w:t>
                  </w:r>
                </w:p>
              </w:tc>
              <w:tc>
                <w:tcPr/>
                <w:p>
                  <w:pPr>
                    <w:pStyle w:val="Compact"/>
                    <w:jc w:val="center"/>
                  </w:pPr>
                  <w:r>
                    <w:t xml:space="preserve">-</w:t>
                  </w:r>
                </w:p>
              </w:tc>
              <w:tc>
                <w:tcPr/>
                <w:p>
                  <w:pPr>
                    <w:pStyle w:val="Compact"/>
                    <w:jc w:val="center"/>
                  </w:pPr>
                  <w:r>
                    <w:t xml:space="preserve">sBA</w:t>
                  </w:r>
                </w:p>
              </w:tc>
              <w:tc>
                <w:tcPr/>
                <w:p>
                  <w:pPr>
                    <w:pStyle w:val="Compact"/>
                    <w:jc w:val="center"/>
                  </w:pPr>
                  <w:r>
                    <w:t xml:space="preserve">Basal Area</w:t>
                  </w:r>
                </w:p>
              </w:tc>
              <w:tc>
                <w:tcPr/>
                <w:p>
                  <w:pPr>
                    <w:pStyle w:val="Compact"/>
                    <w:jc w:val="center"/>
                  </w:pPr>
                  <w:r>
                    <w:t xml:space="preserve">TreeMap 2016 (30m)</w:t>
                  </w:r>
                </w:p>
              </w:tc>
            </w:tr>
            <w:tr>
              <w:tc>
                <w:tcPr/>
                <w:p>
                  <w:pPr>
                    <w:pStyle w:val="Compact"/>
                    <w:jc w:val="center"/>
                  </w:pPr>
                  <w:r>
                    <w:t xml:space="preserve">VDI</w:t>
                  </w:r>
                </w:p>
              </w:tc>
              <w:tc>
                <w:tcPr/>
                <w:p>
                  <w:pPr>
                    <w:pStyle w:val="Compact"/>
                    <w:jc w:val="center"/>
                  </w:pPr>
                  <w:r>
                    <w:t xml:space="preserve">-</w:t>
                  </w:r>
                </w:p>
              </w:tc>
              <w:tc>
                <w:tcPr/>
                <w:p>
                  <w:pPr>
                    <w:pStyle w:val="Compact"/>
                    <w:jc w:val="center"/>
                  </w:pPr>
                  <w:r>
                    <w:t xml:space="preserve">sCC</w:t>
                  </w:r>
                </w:p>
              </w:tc>
              <w:tc>
                <w:tcPr/>
                <w:p>
                  <w:pPr>
                    <w:pStyle w:val="Compact"/>
                    <w:jc w:val="center"/>
                  </w:pPr>
                  <w:r>
                    <w:t xml:space="preserve">Canopy Cover</w:t>
                  </w:r>
                </w:p>
              </w:tc>
              <w:tc>
                <w:tcPr/>
                <w:p>
                  <w:pPr>
                    <w:pStyle w:val="Compact"/>
                    <w:jc w:val="center"/>
                  </w:pPr>
                  <w:r>
                    <w:t xml:space="preserve">NLCD 2021 (30m)</w:t>
                  </w:r>
                </w:p>
              </w:tc>
            </w:tr>
            <w:tr>
              <w:tc>
                <w:tcPr/>
                <w:p>
                  <w:pPr>
                    <w:pStyle w:val="Compact"/>
                    <w:jc w:val="center"/>
                  </w:pPr>
                  <w:r>
                    <w:t xml:space="preserve">SMII</w:t>
                  </w:r>
                </w:p>
              </w:tc>
              <w:tc>
                <w:tcPr/>
                <w:p>
                  <w:pPr>
                    <w:pStyle w:val="Compact"/>
                    <w:jc w:val="center"/>
                  </w:pPr>
                  <w:r>
                    <w:t xml:space="preserve">TRMI</w:t>
                  </w:r>
                </w:p>
              </w:tc>
              <w:tc>
                <w:tcPr/>
                <w:p>
                  <w:pPr>
                    <w:pStyle w:val="Compact"/>
                    <w:jc w:val="center"/>
                  </w:pPr>
                  <w:r>
                    <w:t xml:space="preserve">sApt</w:t>
                  </w:r>
                </w:p>
              </w:tc>
              <w:tc>
                <w:tcPr/>
                <w:p>
                  <w:pPr>
                    <w:pStyle w:val="Compact"/>
                    <w:jc w:val="center"/>
                  </w:pPr>
                  <w:r>
                    <w:t xml:space="preserve">Aspect</w:t>
                  </w:r>
                </w:p>
              </w:tc>
              <w:tc>
                <w:tcPr/>
                <w:p>
                  <w:pPr>
                    <w:pStyle w:val="Compact"/>
                    <w:jc w:val="center"/>
                  </w:pPr>
                  <w:r>
                    <w:t xml:space="preserve">Derived from 1-Arcsecond DEM</w:t>
                  </w:r>
                </w:p>
              </w:tc>
            </w:tr>
            <w:tr>
              <w:tc>
                <w:tcPr/>
                <w:p>
                  <w:pPr>
                    <w:pStyle w:val="Compact"/>
                    <w:jc w:val="center"/>
                  </w:pPr>
                  <w:r>
                    <w:t xml:space="preserve">SMII</w:t>
                  </w:r>
                </w:p>
              </w:tc>
              <w:tc>
                <w:tcPr/>
                <w:p>
                  <w:pPr>
                    <w:pStyle w:val="Compact"/>
                    <w:jc w:val="center"/>
                  </w:pPr>
                  <w:r>
                    <w:t xml:space="preserve">TRMI</w:t>
                  </w:r>
                </w:p>
              </w:tc>
              <w:tc>
                <w:tcPr/>
                <w:p>
                  <w:pPr>
                    <w:pStyle w:val="Compact"/>
                    <w:jc w:val="center"/>
                  </w:pPr>
                  <w:r>
                    <w:t xml:space="preserve">sGeo</w:t>
                  </w:r>
                </w:p>
              </w:tc>
              <w:tc>
                <w:tcPr/>
                <w:p>
                  <w:pPr>
                    <w:pStyle w:val="Compact"/>
                    <w:jc w:val="center"/>
                  </w:pPr>
                  <w:r>
                    <w:t xml:space="preserve">Geomorphon</w:t>
                  </w:r>
                </w:p>
              </w:tc>
              <w:tc>
                <w:tcPr/>
                <w:p>
                  <w:pPr>
                    <w:pStyle w:val="Compact"/>
                    <w:jc w:val="center"/>
                  </w:pPr>
                  <w:r>
                    <w:t xml:space="preserve">Derived from 1-Arcsecond DEM</w:t>
                  </w:r>
                </w:p>
              </w:tc>
            </w:tr>
            <w:tr>
              <w:tc>
                <w:tcPr/>
                <w:p>
                  <w:pPr>
                    <w:pStyle w:val="Compact"/>
                    <w:jc w:val="center"/>
                  </w:pPr>
                  <w:r>
                    <w:t xml:space="preserve">SMII</w:t>
                  </w:r>
                </w:p>
              </w:tc>
              <w:tc>
                <w:tcPr/>
                <w:p>
                  <w:pPr>
                    <w:pStyle w:val="Compact"/>
                    <w:jc w:val="center"/>
                  </w:pPr>
                  <w:r>
                    <w:t xml:space="preserve">TRMI</w:t>
                  </w:r>
                </w:p>
              </w:tc>
              <w:tc>
                <w:tcPr/>
                <w:p>
                  <w:pPr>
                    <w:pStyle w:val="Compact"/>
                    <w:jc w:val="center"/>
                  </w:pPr>
                  <w:r>
                    <w:t xml:space="preserve">sSlop</w:t>
                  </w:r>
                </w:p>
              </w:tc>
              <w:tc>
                <w:tcPr/>
                <w:p>
                  <w:pPr>
                    <w:pStyle w:val="Compact"/>
                    <w:jc w:val="center"/>
                  </w:pPr>
                  <w:r>
                    <w:t xml:space="preserve">Slope</w:t>
                  </w:r>
                </w:p>
              </w:tc>
              <w:tc>
                <w:tcPr/>
                <w:p>
                  <w:pPr>
                    <w:pStyle w:val="Compact"/>
                    <w:jc w:val="center"/>
                  </w:pPr>
                  <w:r>
                    <w:t xml:space="preserve">Derived from 1-Arcsecond DEM</w:t>
                  </w:r>
                </w:p>
              </w:tc>
            </w:tr>
            <w:tr>
              <w:tc>
                <w:tcPr/>
                <w:p>
                  <w:pPr>
                    <w:pStyle w:val="Compact"/>
                    <w:jc w:val="center"/>
                  </w:pPr>
                  <w:r>
                    <w:t xml:space="preserve">SMII</w:t>
                  </w:r>
                </w:p>
              </w:tc>
              <w:tc>
                <w:tcPr/>
                <w:p>
                  <w:pPr>
                    <w:pStyle w:val="Compact"/>
                    <w:jc w:val="center"/>
                  </w:pPr>
                  <w:r>
                    <w:t xml:space="preserve">TRMI</w:t>
                  </w:r>
                </w:p>
              </w:tc>
              <w:tc>
                <w:tcPr/>
                <w:p>
                  <w:pPr>
                    <w:pStyle w:val="Compact"/>
                    <w:jc w:val="center"/>
                  </w:pPr>
                  <w:r>
                    <w:t xml:space="preserve">sTPI</w:t>
                  </w:r>
                </w:p>
              </w:tc>
              <w:tc>
                <w:tcPr/>
                <w:p>
                  <w:pPr>
                    <w:pStyle w:val="Compact"/>
                    <w:jc w:val="center"/>
                  </w:pPr>
                  <w:r>
                    <w:t xml:space="preserve">Topographic Position Index</w:t>
                  </w:r>
                </w:p>
              </w:tc>
              <w:tc>
                <w:tcPr/>
                <w:p>
                  <w:pPr>
                    <w:pStyle w:val="Compact"/>
                    <w:jc w:val="center"/>
                  </w:pPr>
                  <w:r>
                    <w:t xml:space="preserve">Derived from 1-Arcsecond DEM</w:t>
                  </w:r>
                </w:p>
              </w:tc>
            </w:tr>
            <w:tr>
              <w:tc>
                <w:tcPr/>
                <w:p>
                  <w:pPr>
                    <w:pStyle w:val="Compact"/>
                    <w:jc w:val="center"/>
                  </w:pPr>
                  <w:r>
                    <w:t xml:space="preserve">SMII</w:t>
                  </w:r>
                </w:p>
              </w:tc>
              <w:tc>
                <w:tcPr/>
                <w:p>
                  <w:pPr>
                    <w:pStyle w:val="Compact"/>
                    <w:jc w:val="center"/>
                  </w:pPr>
                  <w:r>
                    <w:t xml:space="preserve">-</w:t>
                  </w:r>
                </w:p>
              </w:tc>
              <w:tc>
                <w:tcPr/>
                <w:p>
                  <w:pPr>
                    <w:pStyle w:val="Compact"/>
                    <w:jc w:val="center"/>
                  </w:pPr>
                  <w:r>
                    <w:t xml:space="preserve">sSoilK</w:t>
                  </w:r>
                </w:p>
              </w:tc>
              <w:tc>
                <w:tcPr/>
                <w:p>
                  <w:pPr>
                    <w:pStyle w:val="Compact"/>
                    <w:jc w:val="center"/>
                  </w:pPr>
                  <w:r>
                    <w:t xml:space="preserve">Soil Saturated Hydraulic Conductivity</w:t>
                  </w:r>
                </w:p>
              </w:tc>
              <w:tc>
                <w:tcPr/>
                <w:p>
                  <w:pPr>
                    <w:pStyle w:val="Compact"/>
                    <w:jc w:val="center"/>
                  </w:pPr>
                  <w:r>
                    <w:t xml:space="preserve">ggNATSGO (30m)</w:t>
                  </w:r>
                </w:p>
              </w:tc>
            </w:tr>
            <w:tr>
              <w:tc>
                <w:tcPr/>
                <w:p>
                  <w:pPr>
                    <w:pStyle w:val="Compact"/>
                    <w:jc w:val="center"/>
                  </w:pPr>
                  <w:r>
                    <w:t xml:space="preserve">SbII</w:t>
                  </w:r>
                </w:p>
              </w:tc>
              <w:tc>
                <w:tcPr/>
                <w:p>
                  <w:pPr>
                    <w:pStyle w:val="Compact"/>
                    <w:jc w:val="center"/>
                  </w:pPr>
                  <w:r>
                    <w:t xml:space="preserve">-</w:t>
                  </w:r>
                </w:p>
              </w:tc>
              <w:tc>
                <w:tcPr/>
                <w:p>
                  <w:pPr>
                    <w:pStyle w:val="Compact"/>
                    <w:jc w:val="center"/>
                  </w:pPr>
                  <w:r>
                    <w:t xml:space="preserve">sPo</w:t>
                  </w:r>
                </w:p>
              </w:tc>
              <w:tc>
                <w:tcPr/>
                <w:p>
                  <w:pPr>
                    <w:pStyle w:val="Compact"/>
                    <w:jc w:val="center"/>
                  </w:pPr>
                  <w:r>
                    <w:t xml:space="preserve">Matrix Porosity</w:t>
                  </w:r>
                </w:p>
              </w:tc>
              <w:tc>
                <w:tcPr/>
                <w:p>
                  <w:pPr>
                    <w:pStyle w:val="Compact"/>
                    <w:jc w:val="center"/>
                  </w:pPr>
                  <w:r>
                    <w:t xml:space="preserve">GLHYMPS v2</w:t>
                  </w:r>
                </w:p>
              </w:tc>
            </w:tr>
            <w:tr>
              <w:tc>
                <w:tcPr/>
                <w:p>
                  <w:pPr>
                    <w:pStyle w:val="Compact"/>
                    <w:jc w:val="center"/>
                  </w:pPr>
                  <w:r>
                    <w:t xml:space="preserve">SbII</w:t>
                  </w:r>
                </w:p>
              </w:tc>
              <w:tc>
                <w:tcPr/>
                <w:p>
                  <w:pPr>
                    <w:pStyle w:val="Compact"/>
                    <w:jc w:val="center"/>
                  </w:pPr>
                  <w:r>
                    <w:t xml:space="preserve">-</w:t>
                  </w:r>
                </w:p>
              </w:tc>
              <w:tc>
                <w:tcPr/>
                <w:p>
                  <w:pPr>
                    <w:pStyle w:val="Compact"/>
                    <w:jc w:val="center"/>
                  </w:pPr>
                  <w:r>
                    <w:t xml:space="preserve">sPm</w:t>
                  </w:r>
                </w:p>
              </w:tc>
              <w:tc>
                <w:tcPr/>
                <w:p>
                  <w:pPr>
                    <w:pStyle w:val="Compact"/>
                    <w:jc w:val="center"/>
                  </w:pPr>
                  <w:r>
                    <w:t xml:space="preserve">Matrix Permeability</w:t>
                  </w:r>
                </w:p>
              </w:tc>
              <w:tc>
                <w:tcPr/>
                <w:p>
                  <w:pPr>
                    <w:pStyle w:val="Compact"/>
                    <w:jc w:val="center"/>
                  </w:pPr>
                  <w:r>
                    <w:t xml:space="preserve">GLHYMPS v2</w:t>
                  </w:r>
                </w:p>
              </w:tc>
            </w:tr>
            <w:tr>
              <w:tc>
                <w:tcPr/>
                <w:p>
                  <w:pPr>
                    <w:pStyle w:val="Compact"/>
                    <w:jc w:val="center"/>
                  </w:pPr>
                  <w:r>
                    <w:t xml:space="preserve">SbII</w:t>
                  </w:r>
                </w:p>
              </w:tc>
              <w:tc>
                <w:tcPr/>
                <w:p>
                  <w:pPr>
                    <w:pStyle w:val="Compact"/>
                    <w:jc w:val="center"/>
                  </w:pPr>
                  <w:r>
                    <w:t xml:space="preserve">-</w:t>
                  </w:r>
                </w:p>
              </w:tc>
              <w:tc>
                <w:tcPr/>
                <w:p>
                  <w:pPr>
                    <w:pStyle w:val="Compact"/>
                    <w:jc w:val="center"/>
                  </w:pPr>
                  <w:r>
                    <w:t xml:space="preserve">sLD</w:t>
                  </w:r>
                </w:p>
              </w:tc>
              <w:tc>
                <w:tcPr/>
                <w:p>
                  <w:pPr>
                    <w:pStyle w:val="Compact"/>
                    <w:jc w:val="center"/>
                  </w:pPr>
                  <w:r>
                    <w:t xml:space="preserve">Lineament Density</w:t>
                  </w:r>
                </w:p>
              </w:tc>
              <w:tc>
                <w:tcPr/>
                <w:p>
                  <w:pPr>
                    <w:pStyle w:val="Compact"/>
                    <w:jc w:val="center"/>
                  </w:pPr>
                  <w:r>
                    <w:t xml:space="preserve">Derived from 1-Arcsecond DEM</w:t>
                  </w:r>
                </w:p>
              </w:tc>
            </w:tr>
            <w:tr>
              <w:tc>
                <w:tcPr/>
                <w:p>
                  <w:pPr>
                    <w:pStyle w:val="Compact"/>
                    <w:jc w:val="center"/>
                  </w:pPr>
                  <w:r>
                    <w:t xml:space="preserve">SbII</w:t>
                  </w:r>
                </w:p>
              </w:tc>
              <w:tc>
                <w:tcPr/>
                <w:p>
                  <w:pPr>
                    <w:pStyle w:val="Compact"/>
                    <w:jc w:val="center"/>
                  </w:pPr>
                  <w:r>
                    <w:t xml:space="preserve">-</w:t>
                  </w:r>
                </w:p>
              </w:tc>
              <w:tc>
                <w:tcPr/>
                <w:p>
                  <w:pPr>
                    <w:pStyle w:val="Compact"/>
                    <w:jc w:val="center"/>
                  </w:pPr>
                  <w:r>
                    <w:t xml:space="preserve">sPK</w:t>
                  </w:r>
                </w:p>
              </w:tc>
              <w:tc>
                <w:tcPr/>
                <w:p>
                  <w:pPr>
                    <w:pStyle w:val="Compact"/>
                    <w:jc w:val="center"/>
                  </w:pPr>
                  <w:r>
                    <w:t xml:space="preserve">Potential Karst or Pseudo-Karst</w:t>
                  </w:r>
                </w:p>
              </w:tc>
              <w:tc>
                <w:tcPr/>
                <w:p>
                  <w:pPr>
                    <w:pStyle w:val="Compact"/>
                    <w:jc w:val="center"/>
                  </w:pPr>
                  <w:r>
                    <w:t xml:space="preserve">Karst in the United States (USGS)</w:t>
                  </w:r>
                </w:p>
              </w:tc>
            </w:tr>
          </w:tbl>
          <w:bookmarkEnd w:id="27"/>
          <w:p/>
        </w:tc>
      </w:tr>
    </w:tbl>
    <w:bookmarkStart w:id="28" w:name="snowfall-fraction-sf"/>
    <w:p>
      <w:pPr>
        <w:pStyle w:val="Heading3"/>
      </w:pPr>
      <w:r>
        <w:t xml:space="preserve">2.1.1 Snowfall Fraction (SF)</w:t>
      </w:r>
    </w:p>
    <w:p>
      <w:pPr>
        <w:pStyle w:val="FirstParagraph"/>
      </w:pPr>
      <w:r>
        <w:t xml:space="preserve">Snowfall Fraction (SF) is the percent of annual precipitation that comes in the form of snow. The SF metric was created using accumulated snowfall calculated from the University of Arizona snowpack (UA Snow) data</w:t>
      </w:r>
      <w:r>
        <w:t xml:space="preserve"> </w:t>
      </w:r>
      <w:r>
        <w:t xml:space="preserve">(Zeng, Broxton, and Dawson 2018)</w:t>
      </w:r>
      <w:r>
        <w:t xml:space="preserve"> </w:t>
      </w:r>
      <w:r>
        <w:t xml:space="preserve">by summing positive increments of snow water equivalent (SWE; to estimate snowfall) and dividing by accumulated precipitation from PRISM</w:t>
      </w:r>
      <w:r>
        <w:t xml:space="preserve"> </w:t>
      </w:r>
      <w:r>
        <w:t xml:space="preserve">(Daly et al. 2008)</w:t>
      </w:r>
      <w:r>
        <w:t xml:space="preserve">. The UA Snow data, itself is based on the interpolation of SWE and snow depthh measurements from ground stations against a background field of snowpack estimates created using PRISM precipitation and temperature data, and importantly, it contains an algorithm that separates rainfall and snowfall based on a spatiotemporally variable rain-snow transition temperature that varies based on station whether stations record snow accumulation</w:t>
      </w:r>
      <w:r>
        <w:t xml:space="preserve"> </w:t>
      </w:r>
      <w:r>
        <w:t xml:space="preserve">(P. D. Broxton, Zeng, and Dawson 2016)</w:t>
      </w:r>
      <w:r>
        <w:t xml:space="preserve">. Note that in this study, we use the 800</w:t>
      </w:r>
      <w:r>
        <w:t xml:space="preserve"> </w:t>
      </w:r>
      <w:r>
        <w:rPr>
          <w:i/>
          <w:iCs/>
        </w:rPr>
        <w:t xml:space="preserve">m</w:t>
      </w:r>
      <w:r>
        <w:t xml:space="preserve"> </w:t>
      </w:r>
      <w:r>
        <w:t xml:space="preserve">version of the UA data</w:t>
      </w:r>
      <w:r>
        <w:t xml:space="preserve"> </w:t>
      </w:r>
      <w:r>
        <w:t xml:space="preserve">(P. Broxton, Ehsani, and Behrangi 2024)</w:t>
      </w:r>
      <w:r>
        <w:t xml:space="preserve">.</w:t>
      </w:r>
    </w:p>
    <w:p>
      <w:pPr>
        <w:pStyle w:val="BodyText"/>
      </w:pPr>
      <w:r>
        <w:t xml:space="preserve">Snowfall is important for recharge at elevations over 2000</w:t>
      </w:r>
      <w:r>
        <w:t xml:space="preserve"> </w:t>
      </w:r>
      <w:r>
        <w:rPr>
          <w:i/>
          <w:iCs/>
        </w:rPr>
        <w:t xml:space="preserve">m</w:t>
      </w:r>
      <w:r>
        <w:t xml:space="preserve"> </w:t>
      </w:r>
      <w:r>
        <w:t xml:space="preserve">in Arizona</w:t>
      </w:r>
      <w:r>
        <w:t xml:space="preserve"> </w:t>
      </w:r>
      <w:r>
        <w:t xml:space="preserve">(Eastoe 2023; Baker 2013; Earman et al. 2006)</w:t>
      </w:r>
      <w:r>
        <w:t xml:space="preserve">. Snow dominance and snowmelt duration are critical factors in whether thinning enhances recharge</w:t>
      </w:r>
      <w:r>
        <w:t xml:space="preserve"> </w:t>
      </w:r>
      <w:r>
        <w:t xml:space="preserve">(Adams et al. 2012; Carroll et al. 2016; Saksa et al. 2017)</w:t>
      </w:r>
      <w:r>
        <w:t xml:space="preserve">. Therefore, our suitability mapping prioritizes areas with more snowfall relative to rainfall (higher SF). SF was scaled linearly from 1 to 10 to create a scaled snowfall fraction (sSF) thematic layer.</w:t>
      </w:r>
    </w:p>
    <w:bookmarkEnd w:id="28"/>
    <w:bookmarkStart w:id="33" w:name="vegetation-density-index-vdi"/>
    <w:p>
      <w:pPr>
        <w:pStyle w:val="Heading3"/>
      </w:pPr>
      <w:r>
        <w:t xml:space="preserve">2.1.2 Vegetation Density Index (VDI)</w:t>
      </w:r>
    </w:p>
    <w:p>
      <w:pPr>
        <w:pStyle w:val="FirstParagraph"/>
      </w:pPr>
      <w:r>
        <w:t xml:space="preserve">The Vegetation Density Index (VDI) is created from two data layers, canopy cover (CC) and basal area (BA).</w:t>
      </w:r>
    </w:p>
    <w:bookmarkStart w:id="29" w:name="canopy-cover-cc"/>
    <w:p>
      <w:pPr>
        <w:pStyle w:val="Heading4"/>
      </w:pPr>
      <w:r>
        <w:t xml:space="preserve">2.1.2.1 Canopy Cover (CC)</w:t>
      </w:r>
    </w:p>
    <w:p>
      <w:pPr>
        <w:pStyle w:val="FirstParagraph"/>
      </w:pPr>
      <w:r>
        <w:t xml:space="preserve">Canopy Cover was obtained from the 2021 National Land Cover Database (NLCD), which estimates total canopy cover at a 30m resolution. CC values ranged from 0% - 86%. The variable NLCD TCC (total canopy cover) was reclassified from 1 to 10 based on suitability for thinning to enhance recharge. Forest canopy cover&lt;= 12.5% was reclassified as equal to 1, scaling suitability linearly up to CC &gt;= 28.75% equal to 10 (see appendix:</w:t>
      </w:r>
      <w:r>
        <w:t xml:space="preserve"> </w:t>
      </w:r>
      <w:hyperlink w:anchor="fig-veg">
        <w:r>
          <w:rPr>
            <w:rStyle w:val="Hyperlink"/>
          </w:rPr>
          <w:t xml:space="preserve">Figure 12</w:t>
        </w:r>
      </w:hyperlink>
      <w:r>
        <w:t xml:space="preserve">;</w:t>
      </w:r>
      <w:hyperlink w:anchor="fig-ccba">
        <w:r>
          <w:rPr>
            <w:rStyle w:val="Hyperlink"/>
          </w:rPr>
          <w:t xml:space="preserve">Figure 11</w:t>
        </w:r>
      </w:hyperlink>
      <w:r>
        <w:t xml:space="preserve"> </w:t>
      </w:r>
      <w:r>
        <w:t xml:space="preserve">). These threshold values were determined by considering a minimum 20% reduction in CC without dropping below the pre-settlement minimum CC of 10%</w:t>
      </w:r>
      <w:r>
        <w:t xml:space="preserve"> </w:t>
      </w:r>
      <w:r>
        <w:t xml:space="preserve">(Battaglia and Shepperd 2007)</w:t>
      </w:r>
      <w:r>
        <w:t xml:space="preserve">. Studies examining the relationship between CC and snow retention in PIPO forests found that 23% to 35% is the ideal CC range for retaining snow</w:t>
      </w:r>
      <w:r>
        <w:t xml:space="preserve">(Veatch et al. 2009; Donager et al. 2021; Sankey et al. 2015; Belmonte et al. 2021)</w:t>
      </w:r>
      <w:r>
        <w:t xml:space="preserve">. Areas with CC currently exceeding 28.75%, were considered ideal candidates for thinning. The scaled canopy cover (sCC) thematic layer resulting from this reclassification function was used as an input layer for further analysis.</w:t>
      </w:r>
    </w:p>
    <w:bookmarkEnd w:id="29"/>
    <w:bookmarkStart w:id="30" w:name="basal-area-ba"/>
    <w:p>
      <w:pPr>
        <w:pStyle w:val="Heading4"/>
      </w:pPr>
      <w:r>
        <w:t xml:space="preserve">2.1.2.2 Basal Area (BA)</w:t>
      </w:r>
    </w:p>
    <w:p>
      <w:pPr>
        <w:pStyle w:val="FirstParagraph"/>
      </w:pPr>
      <w:r>
        <w:t xml:space="preserve">We extracted BA estimates from the TreeMap 2016</w:t>
      </w:r>
      <w:r>
        <w:t xml:space="preserve"> </w:t>
      </w:r>
      <w:r>
        <w:t xml:space="preserve">(Riley et al. 2022)</w:t>
      </w:r>
      <w:r>
        <w:t xml:space="preserve"> </w:t>
      </w:r>
      <w:r>
        <w:t xml:space="preserve">CONUS dataset with a resolution of 30 meters. BA was rescaled similarly to canopy cover assuming a 30% reduction required to increase water yield, and a pre-settlement estimate of between 9.2 and 18</w:t>
      </w:r>
      <w:r>
        <w:t xml:space="preserve"> </w:t>
      </w:r>
      <w:r>
        <w:rPr>
          <w:i/>
          <w:iCs/>
        </w:rPr>
        <w:t xml:space="preserve">m</w:t>
      </w:r>
      <w:r>
        <w:rPr>
          <w:i/>
          <w:iCs/>
          <w:vertAlign w:val="superscript"/>
        </w:rPr>
        <w:t xml:space="preserve">2</w:t>
      </w:r>
      <w:r>
        <w:rPr>
          <w:i/>
          <w:iCs/>
        </w:rPr>
        <w:t xml:space="preserve">ha</w:t>
      </w:r>
      <w:r>
        <w:rPr>
          <w:i/>
          <w:iCs/>
          <w:vertAlign w:val="superscript"/>
        </w:rPr>
        <w:t xml:space="preserve">-1</w:t>
      </w:r>
      <w:r>
        <w:t xml:space="preserve"> </w:t>
      </w:r>
      <w:r>
        <w:t xml:space="preserve">for PIPO</w:t>
      </w:r>
      <w:r>
        <w:t xml:space="preserve"> </w:t>
      </w:r>
      <w:r>
        <w:t xml:space="preserve">(Battaglia and Shepperd 2007)</w:t>
      </w:r>
      <w:r>
        <w:t xml:space="preserve">. BA was therefore rescaled linearly from &lt;= 13.14</w:t>
      </w:r>
      <w:r>
        <w:t xml:space="preserve"> </w:t>
      </w:r>
      <w:r>
        <w:rPr>
          <w:i/>
          <w:iCs/>
        </w:rPr>
        <w:t xml:space="preserve">m</w:t>
      </w:r>
      <w:r>
        <w:rPr>
          <w:i/>
          <w:iCs/>
          <w:vertAlign w:val="superscript"/>
        </w:rPr>
        <w:t xml:space="preserve">2</w:t>
      </w:r>
      <w:r>
        <w:rPr>
          <w:i/>
          <w:iCs/>
        </w:rPr>
        <w:t xml:space="preserve">ha</w:t>
      </w:r>
      <w:r>
        <w:rPr>
          <w:i/>
          <w:iCs/>
          <w:vertAlign w:val="superscript"/>
        </w:rPr>
        <w:t xml:space="preserve">-1</w:t>
      </w:r>
      <w:r>
        <w:t xml:space="preserve"> </w:t>
      </w:r>
      <w:r>
        <w:t xml:space="preserve">equal to 1, up to &gt;= 25.71</w:t>
      </w:r>
      <w:r>
        <w:t xml:space="preserve"> </w:t>
      </w:r>
      <w:r>
        <w:rPr>
          <w:i/>
          <w:iCs/>
        </w:rPr>
        <w:t xml:space="preserve">m</w:t>
      </w:r>
      <w:r>
        <w:rPr>
          <w:i/>
          <w:iCs/>
          <w:vertAlign w:val="superscript"/>
        </w:rPr>
        <w:t xml:space="preserve">2</w:t>
      </w:r>
      <w:r>
        <w:rPr>
          <w:i/>
          <w:iCs/>
        </w:rPr>
        <w:t xml:space="preserve">ha</w:t>
      </w:r>
      <w:r>
        <w:rPr>
          <w:i/>
          <w:iCs/>
          <w:vertAlign w:val="superscript"/>
        </w:rPr>
        <w:t xml:space="preserve">-1</w:t>
      </w:r>
      <w:r>
        <w:t xml:space="preserve"> </w:t>
      </w:r>
      <w:r>
        <w:t xml:space="preserve">equal to 10, see appendix (</w:t>
      </w:r>
      <w:hyperlink w:anchor="fig-ccba">
        <w:r>
          <w:rPr>
            <w:rStyle w:val="Hyperlink"/>
          </w:rPr>
          <w:t xml:space="preserve">Figure 11</w:t>
        </w:r>
      </w:hyperlink>
      <w:r>
        <w:t xml:space="preserve">;</w:t>
      </w:r>
      <w:hyperlink w:anchor="fig-veg">
        <w:r>
          <w:rPr>
            <w:rStyle w:val="Hyperlink"/>
          </w:rPr>
          <w:t xml:space="preserve">Figure 12</w:t>
        </w:r>
      </w:hyperlink>
      <w:r>
        <w:t xml:space="preserve">). The scaled basal area (sBA) layer resulting from this reclassification function was used as an input layer for further analysis.</w:t>
      </w:r>
    </w:p>
    <w:bookmarkEnd w:id="30"/>
    <w:bookmarkStart w:id="32" w:name="creation-of-vdi"/>
    <w:p>
      <w:pPr>
        <w:pStyle w:val="Heading4"/>
      </w:pPr>
      <w:r>
        <w:t xml:space="preserve">2.1.2.3 Creation of VDI</w:t>
      </w:r>
    </w:p>
    <w:p>
      <w:pPr>
        <w:pStyle w:val="FirstParagraph"/>
      </w:pPr>
      <w:r>
        <w:t xml:space="preserve">BA and CC are often highly correlated but represent different aspects of forest structure. Therefore, they were combined into a single index. Vegetation density index (VDI) is the weighed sum of sBA, and sCC was combined with weights of 0.6667 and 0.3333, respectively, to create the vegetation density index (VDI)(</w:t>
      </w:r>
      <w:hyperlink w:anchor="eq-vdi">
        <w:r>
          <w:rPr>
            <w:rStyle w:val="Hyperlink"/>
          </w:rPr>
          <w:t xml:space="preserve">Equation 1</w:t>
        </w:r>
      </w:hyperlink>
      <w:r>
        <w:t xml:space="preserve">). We used pairwise comparisons to compare the importance of the two variables and ultimately assigned a higher weight to the basal area. This reflects the fact that reductions in basal area are more likely correlated with reductions in transpiration, while canopy cover primarily affects precipitation partitioning and sub-canopy solar radiation.</w:t>
      </w:r>
    </w:p>
    <w:p>
      <w:pPr>
        <w:pStyle w:val="BodyText"/>
      </w:pPr>
      <w:bookmarkStart w:id="31" w:name="eq-vdi"/>
      <m:oMathPara>
        <m:oMathParaPr>
          <m:jc m:val="center"/>
        </m:oMathParaPr>
        <m:oMath>
          <m:r>
            <m:t>V</m:t>
          </m:r>
          <m:r>
            <m:t>D</m:t>
          </m:r>
          <m:r>
            <m:t>I</m:t>
          </m:r>
          <m:r>
            <m:rPr>
              <m:sty m:val="p"/>
            </m:rPr>
            <m:t>=</m:t>
          </m:r>
          <m:r>
            <m:t>s</m:t>
          </m:r>
          <m:r>
            <m:t>B</m:t>
          </m:r>
          <m:r>
            <m:t>A</m:t>
          </m:r>
          <m:r>
            <m:rPr>
              <m:sty m:val="p"/>
            </m:rPr>
            <m:t>*</m:t>
          </m:r>
          <m:r>
            <m:t>0.6667</m:t>
          </m:r>
          <m:r>
            <m:rPr>
              <m:sty m:val="p"/>
            </m:rPr>
            <m:t>+</m:t>
          </m:r>
          <m:r>
            <m:t>s</m:t>
          </m:r>
          <m:r>
            <m:t>C</m:t>
          </m:r>
          <m:r>
            <m:t>C</m:t>
          </m:r>
          <m:r>
            <m:rPr>
              <m:sty m:val="p"/>
            </m:rPr>
            <m:t>*</m:t>
          </m:r>
          <m:r>
            <m:t>0.3333</m:t>
          </m:r>
          <m:r>
            <m:t>  </m:t>
          </m:r>
          <m:d>
            <m:dPr>
              <m:begChr m:val="("/>
              <m:sepChr m:val=""/>
              <m:endChr m:val=")"/>
              <m:grow/>
            </m:dPr>
            <m:e>
              <m:r>
                <m:t>1</m:t>
              </m:r>
            </m:e>
          </m:d>
        </m:oMath>
      </m:oMathPara>
      <w:bookmarkEnd w:id="31"/>
    </w:p>
    <w:bookmarkEnd w:id="32"/>
    <w:bookmarkEnd w:id="33"/>
    <w:bookmarkStart w:id="42" w:name="X8821ad486928880214eb2de56ad3ba9a8d64701"/>
    <w:p>
      <w:pPr>
        <w:pStyle w:val="Heading3"/>
      </w:pPr>
      <w:r>
        <w:t xml:space="preserve">2.1.3 Soil Moisture and Infiltration Index (SMII)</w:t>
      </w:r>
    </w:p>
    <w:p>
      <w:pPr>
        <w:pStyle w:val="FirstParagraph"/>
      </w:pPr>
      <w:r>
        <w:t xml:space="preserve">Soil Moisture and Infiltration Index (SMII) consists of two data layers, Soil Hydraulic Conductivity (SoilK) and Topographi Relative Moisture Index (TRMI), which includes several topographic paramters derived from a digital elevation model (DEM).</w:t>
      </w:r>
    </w:p>
    <w:bookmarkStart w:id="34" w:name="soil-hydraulic-conductivity-soilk"/>
    <w:p>
      <w:pPr>
        <w:pStyle w:val="Heading4"/>
      </w:pPr>
      <w:r>
        <w:t xml:space="preserve">2.1.3.1 Soil Hydraulic Conductivity (SoilK)</w:t>
      </w:r>
    </w:p>
    <w:p>
      <w:pPr>
        <w:pStyle w:val="FirstParagraph"/>
      </w:pPr>
      <w:r>
        <w:t xml:space="preserve">SoilK is used to estimate the max infiltration rate of the soil profile. SoilK comes from the gridded National Soil Geographic Database produced by the USDA-NRCS. The gNATSGO Soil hydraulic conductivity layer estimates the rate at which water moves through the pores of saturated soil based on point field measurements of soil texture, structure, and porosity. Data was extracted from the gNATSGO database for the AZHUC8 study area. The depth-weighted average method was used to calculate values for soil layers from 0 - 200</w:t>
      </w:r>
      <w:r>
        <w:t xml:space="preserve"> </w:t>
      </w:r>
      <w:r>
        <w:rPr>
          <w:i/>
          <w:iCs/>
        </w:rPr>
        <w:t xml:space="preserve">cm</w:t>
      </w:r>
      <w:r>
        <w:t xml:space="preserve"> </w:t>
      </w:r>
      <w:r>
        <w:t xml:space="preserve">for each 30 by 30</w:t>
      </w:r>
      <w:r>
        <w:t xml:space="preserve"> </w:t>
      </w:r>
      <w:r>
        <w:rPr>
          <w:i/>
          <w:iCs/>
        </w:rPr>
        <w:t xml:space="preserve">m</w:t>
      </w:r>
      <w:r>
        <w:t xml:space="preserve"> </w:t>
      </w:r>
      <w:r>
        <w:t xml:space="preserve">pixel, using the Soil Data Development Toolbox in ArcMap 10.8.3. Values are reported in micrometers per second and broken into the standard 6 classes from very low (0.00 - 0.01) to Very High (100 - 705). These standard classes were assigned suitability values between 1 and 10 to create a scaled SoilK layer (sSoilK)(</w:t>
      </w:r>
      <w:hyperlink w:anchor="fig-soil">
        <w:r>
          <w:rPr>
            <w:rStyle w:val="Hyperlink"/>
          </w:rPr>
          <w:t xml:space="preserve">Figure 2</w:t>
        </w:r>
      </w:hyperlink>
      <w:r>
        <w:t xml:space="preserve">). See</w:t>
      </w:r>
      <w:r>
        <w:t xml:space="preserve"> </w:t>
      </w:r>
      <w:hyperlink w:anchor="tbl-hydcon">
        <w:r>
          <w:rPr>
            <w:rStyle w:val="Hyperlink"/>
          </w:rPr>
          <w:t xml:space="preserve">Table 2</w:t>
        </w:r>
      </w:hyperlink>
      <w:r>
        <w:t xml:space="preserve"> </w:t>
      </w:r>
      <w:r>
        <w:t xml:space="preserve">in the appendix for more details.</w:t>
      </w:r>
    </w:p>
    <w:bookmarkEnd w:id="34"/>
    <w:bookmarkStart w:id="35" w:name="topographic-relative-moisture-index-trmi"/>
    <w:p>
      <w:pPr>
        <w:pStyle w:val="Heading4"/>
      </w:pPr>
      <w:r>
        <w:t xml:space="preserve">2.1.3.2 Topographic Relative Moisture Index (TRMI)</w:t>
      </w:r>
    </w:p>
    <w:p>
      <w:pPr>
        <w:pStyle w:val="FirstParagraph"/>
      </w:pPr>
      <w:r>
        <w:t xml:space="preserve">TRMI incorporates several topographic parameters that influence moisture dynamics, including slope gradient, aspect, relative elevation (or topographic position), and landscape convexity or concavity</w:t>
      </w:r>
      <w:r>
        <w:t xml:space="preserve"> </w:t>
      </w:r>
      <w:r>
        <w:t xml:space="preserve">(A. J. Parker 1982)</w:t>
      </w:r>
      <w:r>
        <w:t xml:space="preserve"> </w:t>
      </w:r>
      <w:r>
        <w:t xml:space="preserve">(see appendix:</w:t>
      </w:r>
      <w:r>
        <w:t xml:space="preserve"> </w:t>
      </w:r>
      <w:hyperlink w:anchor="fig-sankey-trmi">
        <w:r>
          <w:rPr>
            <w:rStyle w:val="Hyperlink"/>
          </w:rPr>
          <w:t xml:space="preserve">Figure 15</w:t>
        </w:r>
      </w:hyperlink>
      <w:r>
        <w:t xml:space="preserve">). TRMI was calculated as per</w:t>
      </w:r>
      <w:r>
        <w:t xml:space="preserve"> </w:t>
      </w:r>
      <w:r>
        <w:t xml:space="preserve">A. J. Parker (1982)</w:t>
      </w:r>
      <w:r>
        <w:t xml:space="preserve"> </w:t>
      </w:r>
      <w:r>
        <w:t xml:space="preserve">by reclassifying and then summing each of the input layers; slope (degrees) (1-10), slope configuration or topographic position index (TPI)(1-10)</w:t>
      </w:r>
      <w:r>
        <w:t xml:space="preserve"> </w:t>
      </w:r>
      <w:r>
        <w:t xml:space="preserve">(De Reu et al. 2013)</w:t>
      </w:r>
      <w:r>
        <w:t xml:space="preserve">, geomorphon (ArcGIS Pro 3.4.0 Spatial Analyst Toolbox–Geomorphon Landform Tool) (1-20), and aspect (degrees azimuth) (1-20). The resulting TRMI values were between 4 and 60, subsequently reclassified into 10 classes with equal interval breaks to create a scaled TRMI layer (sTRMI). Additional details regarding the geomorphon layer and specific reclassification functions used for each input layer can be found in the appendix (</w:t>
      </w:r>
      <w:hyperlink w:anchor="tbl-geo">
        <w:r>
          <w:rPr>
            <w:rStyle w:val="Hyperlink"/>
          </w:rPr>
          <w:t xml:space="preserve">Table 3</w:t>
        </w:r>
      </w:hyperlink>
      <w:r>
        <w:t xml:space="preserve">;</w:t>
      </w:r>
      <w:hyperlink w:anchor="tbl-steep">
        <w:r>
          <w:rPr>
            <w:rStyle w:val="Hyperlink"/>
          </w:rPr>
          <w:t xml:space="preserve">Table 4</w:t>
        </w:r>
      </w:hyperlink>
      <w:r>
        <w:t xml:space="preserve">;</w:t>
      </w:r>
      <w:hyperlink w:anchor="tbl-aspect">
        <w:r>
          <w:rPr>
            <w:rStyle w:val="Hyperlink"/>
          </w:rPr>
          <w:t xml:space="preserve">Table 5</w:t>
        </w:r>
      </w:hyperlink>
      <w:r>
        <w:t xml:space="preserve">).</w:t>
      </w:r>
    </w:p>
    <w:bookmarkEnd w:id="35"/>
    <w:bookmarkStart w:id="41" w:name="creation-of-smii"/>
    <w:p>
      <w:pPr>
        <w:pStyle w:val="Heading4"/>
      </w:pPr>
      <w:r>
        <w:t xml:space="preserve">2.1.3.3 Creation of SMII</w:t>
      </w:r>
    </w:p>
    <w:p>
      <w:pPr>
        <w:pStyle w:val="FirstParagraph"/>
      </w:pPr>
      <w:r>
        <w:t xml:space="preserve">The Soil Moisture and Infiltration Index (SMII) represents where water accumulates on the landscape and where it is likely to infiltrate through the top 2 meters of the soil profile. This index is a weighted sum of the TRMI and SoilK (</w:t>
      </w:r>
      <w:hyperlink w:anchor="fig-soil">
        <w:r>
          <w:rPr>
            <w:rStyle w:val="Hyperlink"/>
          </w:rPr>
          <w:t xml:space="preserve">Figure 2</w:t>
        </w:r>
      </w:hyperlink>
      <w:r>
        <w:t xml:space="preserve">). We prioritized moisture supply (TRMI) over infiltration (SoilK), reasoning that infiltration matters less in areas with no accumulated water to infiltrate. Hence, we applied a weight of 0.6667 to sTRMI and 0.33333 to sSoilK (</w:t>
      </w:r>
      <w:hyperlink w:anchor="eq-smii">
        <w:r>
          <w:rPr>
            <w:rStyle w:val="Hyperlink"/>
          </w:rPr>
          <w:t xml:space="preserve">Equation 2</w:t>
        </w:r>
      </w:hyperlink>
      <w:r>
        <w:t xml:space="preserve">;see appendix:</w:t>
      </w:r>
      <w:hyperlink w:anchor="fig-sankey-smii">
        <w:r>
          <w:rPr>
            <w:rStyle w:val="Hyperlink"/>
          </w:rPr>
          <w:t xml:space="preserve">Figure 13</w:t>
        </w:r>
      </w:hyperlink>
      <w:r>
        <w:t xml:space="preserve">).</w:t>
      </w:r>
    </w:p>
    <w:p>
      <w:pPr>
        <w:pStyle w:val="BodyText"/>
      </w:pPr>
      <w:bookmarkStart w:id="36" w:name="eq-smii"/>
      <m:oMathPara>
        <m:oMathParaPr>
          <m:jc m:val="center"/>
        </m:oMathParaPr>
        <m:oMath>
          <m:r>
            <m:t>S</m:t>
          </m:r>
          <m:r>
            <m:t>M</m:t>
          </m:r>
          <m:r>
            <m:t>I</m:t>
          </m:r>
          <m:r>
            <m:t>I</m:t>
          </m:r>
          <m:r>
            <m:rPr>
              <m:sty m:val="p"/>
            </m:rPr>
            <m:t>=</m:t>
          </m:r>
          <m:r>
            <m:t>s</m:t>
          </m:r>
          <m:r>
            <m:t>T</m:t>
          </m:r>
          <m:r>
            <m:t>R</m:t>
          </m:r>
          <m:r>
            <m:t>M</m:t>
          </m:r>
          <m:r>
            <m:t>I</m:t>
          </m:r>
          <m:r>
            <m:rPr>
              <m:sty m:val="p"/>
            </m:rPr>
            <m:t>*</m:t>
          </m:r>
          <m:r>
            <m:t>0.6667</m:t>
          </m:r>
          <m:r>
            <m:rPr>
              <m:sty m:val="p"/>
            </m:rPr>
            <m:t>+</m:t>
          </m:r>
          <m:r>
            <m:t>s</m:t>
          </m:r>
          <m:r>
            <m:t>S</m:t>
          </m:r>
          <m:r>
            <m:t>o</m:t>
          </m:r>
          <m:r>
            <m:t>i</m:t>
          </m:r>
          <m:r>
            <m:t>l</m:t>
          </m:r>
          <m:r>
            <m:t>K</m:t>
          </m:r>
          <m:r>
            <m:rPr>
              <m:sty m:val="p"/>
            </m:rPr>
            <m:t>*</m:t>
          </m:r>
          <m:r>
            <m:t>0.3333</m:t>
          </m:r>
          <m:r>
            <m:t>  </m:t>
          </m:r>
          <m:d>
            <m:dPr>
              <m:begChr m:val="("/>
              <m:sepChr m:val=""/>
              <m:endChr m:val=")"/>
              <m:grow/>
            </m:dPr>
            <m:e>
              <m:r>
                <m:t>2</m:t>
              </m:r>
            </m:e>
          </m:d>
        </m:oMath>
      </m:oMathPara>
      <w:bookmarkEnd w:id="36"/>
    </w:p>
    <w:tbl>
      <w:tblPr>
        <w:tblStyle w:val="Table"/>
        <w:tblW w:type="pct" w:w="5000"/>
        <w:tblLayout w:type="fixed"/>
        <w:tblLook w:firstRow="0" w:lastRow="0" w:firstColumn="0" w:lastColumn="0" w:noHBand="0" w:noVBand="0" w:val="0000"/>
      </w:tblPr>
      <w:tblGrid>
        <w:gridCol w:w="7920"/>
      </w:tblGrid>
      <w:tr>
        <w:tc>
          <w:tcPr/>
          <w:bookmarkStart w:id="40" w:name="fig-soil"/>
          <w:p>
            <w:pPr>
              <w:pStyle w:val="Compact"/>
              <w:jc w:val="center"/>
            </w:pPr>
            <w:r>
              <w:drawing>
                <wp:inline>
                  <wp:extent cx="5334000" cy="5334000"/>
                  <wp:effectExtent b="0" l="0" r="0" t="0"/>
                  <wp:docPr descr="" title="" id="38" name="Picture"/>
                  <a:graphic>
                    <a:graphicData uri="http://schemas.openxmlformats.org/drawingml/2006/picture">
                      <pic:pic>
                        <pic:nvPicPr>
                          <pic:cNvPr descr="images/fig-soil.jpg" id="39" name="Picture"/>
                          <pic:cNvPicPr>
                            <a:picLocks noChangeArrowheads="1" noChangeAspect="1"/>
                          </pic:cNvPicPr>
                        </pic:nvPicPr>
                        <pic:blipFill>
                          <a:blip r:embed="rId37"/>
                          <a:stretch>
                            <a:fillRect/>
                          </a:stretch>
                        </pic:blipFill>
                        <pic:spPr bwMode="auto">
                          <a:xfrm>
                            <a:off x="0" y="0"/>
                            <a:ext cx="5334000" cy="5334000"/>
                          </a:xfrm>
                          <a:prstGeom prst="rect">
                            <a:avLst/>
                          </a:prstGeom>
                          <a:noFill/>
                          <a:ln w="9525">
                            <a:noFill/>
                            <a:headEnd/>
                            <a:tailEnd/>
                          </a:ln>
                        </pic:spPr>
                      </pic:pic>
                    </a:graphicData>
                  </a:graphic>
                </wp:inline>
              </w:drawing>
            </w:r>
          </w:p>
          <w:p>
            <w:pPr>
              <w:jc w:val="center"/>
            </w:pPr>
            <w:pPr>
              <w:jc w:val="start"/>
              <w:spacing w:before="200"/>
              <w:pStyle w:val="ImageCaption"/>
            </w:pPr>
            <w:r>
              <w:t xml:space="preserve">Figure 2: Panel (a) shows the zoomed-in area for panels (b), (c), and (d).Soil Moisture and Infiltration Index (SMII) (d) is composed of a weighted linear sum of the scaled Soil hydraulic Conductivity (SoilK)(c) and the scaled Topographic Relative Moisture Index (TRMI)(b).</w:t>
            </w:r>
          </w:p>
          <w:bookmarkEnd w:id="40"/>
        </w:tc>
      </w:tr>
    </w:tbl>
    <w:bookmarkEnd w:id="41"/>
    <w:bookmarkEnd w:id="42"/>
    <w:bookmarkStart w:id="52" w:name="subsurface-infiltration-index-sbii"/>
    <w:p>
      <w:pPr>
        <w:pStyle w:val="Heading3"/>
      </w:pPr>
      <w:r>
        <w:t xml:space="preserve">2.1.4 Subsurface Infiltration Index (SbII)</w:t>
      </w:r>
    </w:p>
    <w:p>
      <w:pPr>
        <w:pStyle w:val="FirstParagraph"/>
      </w:pPr>
      <w:r>
        <w:t xml:space="preserve">The Subsurface Infiltration Index (SbII) was created by combining layers of Matrix Pereabolity (Pm) and Porosity (Po), Lineament Density (LD), and Potential karst of Pseudo-karst (PK).</w:t>
      </w:r>
    </w:p>
    <w:bookmarkStart w:id="43" w:name="matrix-permeability-pm-and-porosity-po"/>
    <w:p>
      <w:pPr>
        <w:pStyle w:val="Heading4"/>
      </w:pPr>
      <w:r>
        <w:t xml:space="preserve">2.1.4.1 Matrix Permeability (Pm) and Porosity (Po)</w:t>
      </w:r>
    </w:p>
    <w:p>
      <w:pPr>
        <w:pStyle w:val="FirstParagraph"/>
      </w:pPr>
      <w:r>
        <w:t xml:space="preserve">Pm and Po values were extracted from the GLobal Hydrogeology MaPS 2.0 (GLHYMPS v2) dataset</w:t>
      </w:r>
      <w:r>
        <w:t xml:space="preserve"> </w:t>
      </w:r>
      <w:r>
        <w:t xml:space="preserve">(Huscroft et al. 2018)</w:t>
      </w:r>
      <w:r>
        <w:t xml:space="preserve">. Our study area contained 11,057 polygons with values for saturated log-permeability ranging from -16 to -10 and porosity values ranging from 0.01 - 0.28 (</w:t>
      </w:r>
      <w:hyperlink w:anchor="fig-perm">
        <w:r>
          <w:rPr>
            <w:rStyle w:val="Hyperlink"/>
          </w:rPr>
          <w:t xml:space="preserve">Figure 10</w:t>
        </w:r>
      </w:hyperlink>
      <w:r>
        <w:t xml:space="preserve">, see appendix). The attribute values were extracted, the polygons were rasterized at a 30m resolution and then re-scaled to values (1-10). See the appendix for more details on the rescaling of Po and Pm (</w:t>
      </w:r>
      <w:hyperlink w:anchor="tbl-glhymps">
        <w:r>
          <w:rPr>
            <w:rStyle w:val="Hyperlink"/>
          </w:rPr>
          <w:t xml:space="preserve">Table 6</w:t>
        </w:r>
      </w:hyperlink>
      <w:r>
        <w:t xml:space="preserve">).</w:t>
      </w:r>
    </w:p>
    <w:bookmarkEnd w:id="43"/>
    <w:bookmarkStart w:id="44" w:name="lineament-density-ld"/>
    <w:p>
      <w:pPr>
        <w:pStyle w:val="Heading4"/>
      </w:pPr>
      <w:r>
        <w:t xml:space="preserve">2.1.4.2 Lineament Density (LD)</w:t>
      </w:r>
    </w:p>
    <w:p>
      <w:pPr>
        <w:pStyle w:val="FirstParagraph"/>
      </w:pPr>
      <w:r>
        <w:t xml:space="preserve">Lineaments are linear or curvilinear surface features that may reflect subsurface geologic structures</w:t>
      </w:r>
      <w:r>
        <w:t xml:space="preserve">(O’leary, Friedman, and Pohn 1976)</w:t>
      </w:r>
      <w:r>
        <w:t xml:space="preserve">. Lineament density(LD) is commonly used in studies evaluating potential recharge zones</w:t>
      </w:r>
      <w:r>
        <w:t xml:space="preserve"> </w:t>
      </w:r>
      <w:r>
        <w:t xml:space="preserve">(Chenini, Mammou, and El May 2010; Chowdhury, Jha, and Chowdary 2010; Al-Adamat 2012)</w:t>
      </w:r>
      <w:r>
        <w:t xml:space="preserve">. Lineaments were extracted from U.S. Geologic Survey, 2019 3D Elevation Program 1-arc-second tiles using the LINE algoithm in Catalyst 3.0.2. the process is described in detail in the appendix. The ouput of the LINE tool was exported as a shapefile and analysed using the Line Density Tool in ArcGIS Pro to calculate the density of lineaments within a circular neighborhood with a radius of 1</w:t>
      </w:r>
      <w:r>
        <w:rPr>
          <w:i/>
          <w:iCs/>
        </w:rPr>
        <w:t xml:space="preserve">km</w:t>
      </w:r>
      <w:r>
        <w:t xml:space="preserve">, providing lineament density values between 0.001 and 5.55</w:t>
      </w:r>
      <w:r>
        <w:t xml:space="preserve"> </w:t>
      </w:r>
      <w:r>
        <w:rPr>
          <w:i/>
          <w:iCs/>
        </w:rPr>
        <w:t xml:space="preserve">km/km</w:t>
      </w:r>
      <w:r>
        <w:rPr>
          <w:vertAlign w:val="superscript"/>
        </w:rPr>
        <w:t xml:space="preserve">2</w:t>
      </w:r>
      <w:r>
        <w:t xml:space="preserve">. While the presence of lineaments likely enhances the secondary Pm and Po, the absence of lineaments does not necessarily reduce overall recharge suitability. Therefore, we scaled lineament density between 5 and 10 for the thematic layer scaled lineament density (sLD) (see appendix:</w:t>
      </w:r>
      <w:r>
        <w:t xml:space="preserve"> </w:t>
      </w:r>
      <w:hyperlink w:anchor="fig-ld">
        <w:r>
          <w:rPr>
            <w:rStyle w:val="Hyperlink"/>
          </w:rPr>
          <w:t xml:space="preserve">Figure 16</w:t>
        </w:r>
      </w:hyperlink>
      <w:r>
        <w:t xml:space="preserve">); this is consistent with other GIS-MCDA studies evaluating recharge potential</w:t>
      </w:r>
      <w:r>
        <w:t xml:space="preserve"> </w:t>
      </w:r>
      <w:r>
        <w:t xml:space="preserve">(Shaban, Khawlie, and Abdallah 2006)</w:t>
      </w:r>
      <w:r>
        <w:t xml:space="preserve">.</w:t>
      </w:r>
    </w:p>
    <w:bookmarkEnd w:id="44"/>
    <w:bookmarkStart w:id="49" w:name="potential-karst-or-pseudo-karst-pk"/>
    <w:p>
      <w:pPr>
        <w:pStyle w:val="Heading4"/>
      </w:pPr>
      <w:r>
        <w:t xml:space="preserve">2.1.4.3 Potential Karst or Pseudo-Karst (PK)</w:t>
      </w:r>
    </w:p>
    <w:p>
      <w:pPr>
        <w:pStyle w:val="FirstParagraph"/>
      </w:pPr>
      <w:r>
        <w:t xml:space="preserve">Shapefiles of potential karst or pseudo-karst lithology (PK) were sourced from the Karst in the United States digital map compilation and database</w:t>
      </w:r>
      <w:r>
        <w:t xml:space="preserve"> </w:t>
      </w:r>
      <w:r>
        <w:t xml:space="preserve">(Weary and Doctor 2014)</w:t>
      </w:r>
      <w:r>
        <w:t xml:space="preserve">. The polygons were clipped to the AZHU8 study area and converted to a 30</w:t>
      </w:r>
      <w:r>
        <w:rPr>
          <w:i/>
          <w:iCs/>
        </w:rPr>
        <w:t xml:space="preserve">m</w:t>
      </w:r>
      <w:r>
        <w:t xml:space="preserve"> </w:t>
      </w:r>
      <w:r>
        <w:t xml:space="preserve">raster, and assigned values based on their potential for enhanced recharge through faults, fractures, sinkholes, or caves. The classes were non-karst = 5 (neutral), volcanics with potential karst or pseudo-karst (such as lava tubes) = 7, evaporates at or near the surface = 8, and carbonates at or near the surface = 10, resulting in a scaled potential karst layer (sPK).(</w:t>
      </w:r>
      <w:hyperlink w:anchor="fig-pk-sbii">
        <w:r>
          <w:rPr>
            <w:rStyle w:val="Hyperlink"/>
          </w:rPr>
          <w:t xml:space="preserve">Figure 3</w:t>
        </w:r>
      </w:hyperlink>
      <w:r>
        <w:t xml:space="preserve">)</w:t>
      </w:r>
    </w:p>
    <w:tbl>
      <w:tblPr>
        <w:tblStyle w:val="Table"/>
        <w:tblW w:type="pct" w:w="5000"/>
        <w:tblLayout w:type="fixed"/>
        <w:tblLook w:firstRow="0" w:lastRow="0" w:firstColumn="0" w:lastColumn="0" w:noHBand="0" w:noVBand="0" w:val="0000"/>
      </w:tblPr>
      <w:tblGrid>
        <w:gridCol w:w="7920"/>
      </w:tblGrid>
      <w:tr>
        <w:tc>
          <w:tcPr/>
          <w:bookmarkStart w:id="48" w:name="fig-pk-sbii"/>
          <w:p>
            <w:pPr>
              <w:pStyle w:val="Compact"/>
              <w:jc w:val="center"/>
            </w:pPr>
            <w:r>
              <w:drawing>
                <wp:inline>
                  <wp:extent cx="5334000" cy="3238500"/>
                  <wp:effectExtent b="0" l="0" r="0" t="0"/>
                  <wp:docPr descr="" title="" id="46" name="Picture"/>
                  <a:graphic>
                    <a:graphicData uri="http://schemas.openxmlformats.org/drawingml/2006/picture">
                      <pic:pic>
                        <pic:nvPicPr>
                          <pic:cNvPr descr="images/fig-pk-sbii.jpg" id="47" name="Picture"/>
                          <pic:cNvPicPr>
                            <a:picLocks noChangeArrowheads="1" noChangeAspect="1"/>
                          </pic:cNvPicPr>
                        </pic:nvPicPr>
                        <pic:blipFill>
                          <a:blip r:embed="rId45"/>
                          <a:stretch>
                            <a:fillRect/>
                          </a:stretch>
                        </pic:blipFill>
                        <pic:spPr bwMode="auto">
                          <a:xfrm>
                            <a:off x="0" y="0"/>
                            <a:ext cx="5334000" cy="3238500"/>
                          </a:xfrm>
                          <a:prstGeom prst="rect">
                            <a:avLst/>
                          </a:prstGeom>
                          <a:noFill/>
                          <a:ln w="9525">
                            <a:noFill/>
                            <a:headEnd/>
                            <a:tailEnd/>
                          </a:ln>
                        </pic:spPr>
                      </pic:pic>
                    </a:graphicData>
                  </a:graphic>
                </wp:inline>
              </w:drawing>
            </w:r>
          </w:p>
          <w:p>
            <w:pPr>
              <w:jc w:val="center"/>
            </w:pPr>
            <w:pPr>
              <w:jc w:val="start"/>
              <w:spacing w:before="200"/>
              <w:pStyle w:val="ImageCaption"/>
            </w:pPr>
            <w:r>
              <w:t xml:space="preserve">Figure 3: Potential karst or pseudo-karst (left) areas with potential karst features may have higher permeability and porosity through sinks, caves, lava tubes, voids, and fractures. Subsurface infiltration index is shown on the right, areas with high infiltration potential are in blue, while areas with low subsurface infiltration potential are in red.</w:t>
            </w:r>
          </w:p>
          <w:bookmarkEnd w:id="48"/>
        </w:tc>
      </w:tr>
    </w:tbl>
    <w:bookmarkEnd w:id="49"/>
    <w:bookmarkStart w:id="51" w:name="creation-of-sbii"/>
    <w:p>
      <w:pPr>
        <w:pStyle w:val="Heading4"/>
      </w:pPr>
      <w:r>
        <w:t xml:space="preserve">2.1.4.4 Creation of SbII</w:t>
      </w:r>
    </w:p>
    <w:p>
      <w:pPr>
        <w:pStyle w:val="FirstParagraph"/>
      </w:pPr>
      <w:r>
        <w:t xml:space="preserve">SbII is a weighted linear sum of sPm, sPo, sLD, and sPK, with weights 0.4, 0.25, 0.15, and 0.2, respectively; the equation is shown below (</w:t>
      </w:r>
      <w:hyperlink w:anchor="eq-sbii">
        <w:r>
          <w:rPr>
            <w:rStyle w:val="Hyperlink"/>
          </w:rPr>
          <w:t xml:space="preserve">Equation 3</w:t>
        </w:r>
      </w:hyperlink>
      <w:r>
        <w:t xml:space="preserve">)(</w:t>
      </w:r>
      <w:hyperlink w:anchor="fig-pk-sbii">
        <w:r>
          <w:rPr>
            <w:rStyle w:val="Hyperlink"/>
          </w:rPr>
          <w:t xml:space="preserve">Figure 3</w:t>
        </w:r>
      </w:hyperlink>
      <w:r>
        <w:t xml:space="preserve">; see appendix:</w:t>
      </w:r>
      <w:r>
        <w:t xml:space="preserve"> </w:t>
      </w:r>
      <w:hyperlink w:anchor="fig-sankey-sbii">
        <w:r>
          <w:rPr>
            <w:rStyle w:val="Hyperlink"/>
          </w:rPr>
          <w:t xml:space="preserve">Figure 14</w:t>
        </w:r>
      </w:hyperlink>
      <w:r>
        <w:t xml:space="preserve">). The SbII can be seen as an estimate of the infiltration potential of the subsurface lithology excluding soils (which are included in the SMII index). Due to the resolution of the geologic mapping that produced the GLHYMPS v2 dataset and general lack of detailed geologic mapping in much of Arizona, focused recharge in stream channels is not addressed by this index, and it can be seen as a conservative estimate of recharge potential state-wide.</w:t>
      </w:r>
    </w:p>
    <w:p>
      <w:pPr>
        <w:pStyle w:val="BodyText"/>
      </w:pPr>
      <w:bookmarkStart w:id="50" w:name="eq-sbii"/>
      <m:oMathPara>
        <m:oMathParaPr>
          <m:jc m:val="center"/>
        </m:oMathParaPr>
        <m:oMath>
          <m:r>
            <m:t>S</m:t>
          </m:r>
          <m:r>
            <m:t>b</m:t>
          </m:r>
          <m:r>
            <m:t>I</m:t>
          </m:r>
          <m:r>
            <m:t>I</m:t>
          </m:r>
          <m:r>
            <m:rPr>
              <m:sty m:val="p"/>
            </m:rPr>
            <m:t>=</m:t>
          </m:r>
          <m:r>
            <m:t>s</m:t>
          </m:r>
          <m:r>
            <m:t>P</m:t>
          </m:r>
          <m:r>
            <m:t>m</m:t>
          </m:r>
          <m:r>
            <m:rPr>
              <m:sty m:val="p"/>
            </m:rPr>
            <m:t>*</m:t>
          </m:r>
          <m:r>
            <m:t>0.4</m:t>
          </m:r>
          <m:r>
            <m:rPr>
              <m:sty m:val="p"/>
            </m:rPr>
            <m:t>+</m:t>
          </m:r>
          <m:r>
            <m:t>s</m:t>
          </m:r>
          <m:r>
            <m:t>P</m:t>
          </m:r>
          <m:r>
            <m:t>o</m:t>
          </m:r>
          <m:r>
            <m:rPr>
              <m:sty m:val="p"/>
            </m:rPr>
            <m:t>*</m:t>
          </m:r>
          <m:r>
            <m:t>0.25</m:t>
          </m:r>
          <m:r>
            <m:rPr>
              <m:sty m:val="p"/>
            </m:rPr>
            <m:t>+</m:t>
          </m:r>
          <m:r>
            <m:t>s</m:t>
          </m:r>
          <m:r>
            <m:t>L</m:t>
          </m:r>
          <m:r>
            <m:t>D</m:t>
          </m:r>
          <m:r>
            <m:rPr>
              <m:sty m:val="p"/>
            </m:rPr>
            <m:t>*</m:t>
          </m:r>
          <m:r>
            <m:t>0.15</m:t>
          </m:r>
          <m:r>
            <m:rPr>
              <m:sty m:val="p"/>
            </m:rPr>
            <m:t>+</m:t>
          </m:r>
          <m:r>
            <m:t>s</m:t>
          </m:r>
          <m:r>
            <m:t>P</m:t>
          </m:r>
          <m:r>
            <m:t>K</m:t>
          </m:r>
          <m:r>
            <m:rPr>
              <m:sty m:val="p"/>
            </m:rPr>
            <m:t>*</m:t>
          </m:r>
          <m:r>
            <m:t>0.2</m:t>
          </m:r>
          <m:r>
            <m:t>  </m:t>
          </m:r>
          <m:d>
            <m:dPr>
              <m:begChr m:val="("/>
              <m:sepChr m:val=""/>
              <m:endChr m:val=")"/>
              <m:grow/>
            </m:dPr>
            <m:e>
              <m:r>
                <m:t>3</m:t>
              </m:r>
            </m:e>
          </m:d>
        </m:oMath>
      </m:oMathPara>
      <w:bookmarkEnd w:id="50"/>
    </w:p>
    <w:bookmarkEnd w:id="51"/>
    <w:bookmarkEnd w:id="52"/>
    <w:bookmarkEnd w:id="53"/>
    <w:bookmarkStart w:id="59" w:name="overall-suitability-weighting"/>
    <w:p>
      <w:pPr>
        <w:pStyle w:val="Heading2"/>
      </w:pPr>
      <w:r>
        <w:t xml:space="preserve">2.2 Overall Suitability Weighting</w:t>
      </w:r>
    </w:p>
    <w:p>
      <w:pPr>
        <w:pStyle w:val="FirstParagraph"/>
      </w:pPr>
      <w:r>
        <w:t xml:space="preserve">The four final thematic layers: sSF, VDI, SMII, SbII were ranked in order of importance and assigned weights of 0.2, 0.2, 0.4, and 0.2 respectively and combined using a weighted sum resulting in the final suitability values for thinning to enhance recharge (</w:t>
      </w:r>
      <w:hyperlink w:anchor="eq-suit">
        <w:r>
          <w:rPr>
            <w:rStyle w:val="Hyperlink"/>
          </w:rPr>
          <w:t xml:space="preserve">Equation 4</w:t>
        </w:r>
      </w:hyperlink>
      <w:r>
        <w:t xml:space="preserve">). The relative proportion, or percent contribution of each thematic layer to overall suitability is shown in</w:t>
      </w:r>
      <w:r>
        <w:t xml:space="preserve"> </w:t>
      </w:r>
      <w:hyperlink w:anchor="fig-sankey-overall">
        <w:r>
          <w:rPr>
            <w:rStyle w:val="Hyperlink"/>
          </w:rPr>
          <w:t xml:space="preserve">Figure 4</w:t>
        </w:r>
      </w:hyperlink>
    </w:p>
    <w:p>
      <w:pPr>
        <w:pStyle w:val="BodyText"/>
      </w:pPr>
      <w:bookmarkStart w:id="54" w:name="eq-suit"/>
      <m:oMathPara>
        <m:oMathParaPr>
          <m:jc m:val="center"/>
        </m:oMathParaPr>
        <m:oMath>
          <m:r>
            <m:t>F</m:t>
          </m:r>
          <m:r>
            <m:t>i</m:t>
          </m:r>
          <m:r>
            <m:t>n</m:t>
          </m:r>
          <m:r>
            <m:t>a</m:t>
          </m:r>
          <m:r>
            <m:t>l</m:t>
          </m:r>
          <m:r>
            <m:t>S</m:t>
          </m:r>
          <m:r>
            <m:t>u</m:t>
          </m:r>
          <m:r>
            <m:t>i</m:t>
          </m:r>
          <m:r>
            <m:t>t</m:t>
          </m:r>
          <m:r>
            <m:t>a</m:t>
          </m:r>
          <m:r>
            <m:t>b</m:t>
          </m:r>
          <m:r>
            <m:t>i</m:t>
          </m:r>
          <m:r>
            <m:t>l</m:t>
          </m:r>
          <m:r>
            <m:t>i</m:t>
          </m:r>
          <m:r>
            <m:t>t</m:t>
          </m:r>
          <m:r>
            <m:t>y</m:t>
          </m:r>
          <m:r>
            <m:rPr>
              <m:sty m:val="p"/>
            </m:rPr>
            <m:t>=</m:t>
          </m:r>
          <m:r>
            <m:t>0.2</m:t>
          </m:r>
          <m:r>
            <m:rPr>
              <m:sty m:val="p"/>
            </m:rPr>
            <m:t>*</m:t>
          </m:r>
          <m:r>
            <m:t>s</m:t>
          </m:r>
          <m:r>
            <m:t>S</m:t>
          </m:r>
          <m:r>
            <m:t>F</m:t>
          </m:r>
          <m:r>
            <m:rPr>
              <m:sty m:val="p"/>
            </m:rPr>
            <m:t>+</m:t>
          </m:r>
          <m:r>
            <m:t>0.2</m:t>
          </m:r>
          <m:r>
            <m:rPr>
              <m:sty m:val="p"/>
            </m:rPr>
            <m:t>*</m:t>
          </m:r>
          <m:r>
            <m:t>V</m:t>
          </m:r>
          <m:r>
            <m:t>D</m:t>
          </m:r>
          <m:r>
            <m:t>I</m:t>
          </m:r>
          <m:r>
            <m:rPr>
              <m:sty m:val="p"/>
            </m:rPr>
            <m:t>+</m:t>
          </m:r>
          <m:r>
            <m:t>0.4</m:t>
          </m:r>
          <m:r>
            <m:rPr>
              <m:sty m:val="p"/>
            </m:rPr>
            <m:t>*</m:t>
          </m:r>
          <m:r>
            <m:t>S</m:t>
          </m:r>
          <m:r>
            <m:t>M</m:t>
          </m:r>
          <m:r>
            <m:t>I</m:t>
          </m:r>
          <m:r>
            <m:t>I</m:t>
          </m:r>
          <m:r>
            <m:rPr>
              <m:sty m:val="p"/>
            </m:rPr>
            <m:t>+</m:t>
          </m:r>
          <m:r>
            <m:t>0.2</m:t>
          </m:r>
          <m:r>
            <m:rPr>
              <m:sty m:val="p"/>
            </m:rPr>
            <m:t>*</m:t>
          </m:r>
          <m:r>
            <m:t>S</m:t>
          </m:r>
          <m:r>
            <m:t>b</m:t>
          </m:r>
          <m:r>
            <m:t>I</m:t>
          </m:r>
          <m:r>
            <m:t>I</m:t>
          </m:r>
          <m:r>
            <m:t>  </m:t>
          </m:r>
          <m:d>
            <m:dPr>
              <m:begChr m:val="("/>
              <m:sepChr m:val=""/>
              <m:endChr m:val=")"/>
              <m:grow/>
            </m:dPr>
            <m:e>
              <m:r>
                <m:t>4</m:t>
              </m:r>
            </m:e>
          </m:d>
        </m:oMath>
      </m:oMathPara>
      <w:bookmarkEnd w:id="54"/>
    </w:p>
    <w:tbl>
      <w:tblPr>
        <w:tblStyle w:val="Table"/>
        <w:tblW w:type="pct" w:w="5000"/>
        <w:tblLayout w:type="fixed"/>
        <w:tblLook w:firstRow="0" w:lastRow="0" w:firstColumn="0" w:lastColumn="0" w:noHBand="0" w:noVBand="0" w:val="0000"/>
      </w:tblPr>
      <w:tblGrid>
        <w:gridCol w:w="7920"/>
      </w:tblGrid>
      <w:tr>
        <w:tc>
          <w:tcPr/>
          <w:bookmarkStart w:id="58" w:name="fig-sankey-overall"/>
          <w:p>
            <w:pPr>
              <w:pStyle w:val="Compact"/>
              <w:jc w:val="center"/>
            </w:pPr>
            <w:r>
              <w:drawing>
                <wp:inline>
                  <wp:extent cx="5334000" cy="3733800"/>
                  <wp:effectExtent b="0" l="0" r="0" t="0"/>
                  <wp:docPr descr="" title="" id="56" name="Picture"/>
                  <a:graphic>
                    <a:graphicData uri="http://schemas.openxmlformats.org/drawingml/2006/picture">
                      <pic:pic>
                        <pic:nvPicPr>
                          <pic:cNvPr descr="images/fig-sankey-overall.png" id="57" name="Picture"/>
                          <pic:cNvPicPr>
                            <a:picLocks noChangeArrowheads="1" noChangeAspect="1"/>
                          </pic:cNvPicPr>
                        </pic:nvPicPr>
                        <pic:blipFill>
                          <a:blip r:embed="rId55"/>
                          <a:stretch>
                            <a:fillRect/>
                          </a:stretch>
                        </pic:blipFill>
                        <pic:spPr bwMode="auto">
                          <a:xfrm>
                            <a:off x="0" y="0"/>
                            <a:ext cx="5334000" cy="3733800"/>
                          </a:xfrm>
                          <a:prstGeom prst="rect">
                            <a:avLst/>
                          </a:prstGeom>
                          <a:noFill/>
                          <a:ln w="9525">
                            <a:noFill/>
                            <a:headEnd/>
                            <a:tailEnd/>
                          </a:ln>
                        </pic:spPr>
                      </pic:pic>
                    </a:graphicData>
                  </a:graphic>
                </wp:inline>
              </w:drawing>
            </w:r>
          </w:p>
          <w:p>
            <w:pPr>
              <w:jc w:val="center"/>
            </w:pPr>
            <w:pPr>
              <w:jc w:val="start"/>
              <w:spacing w:before="200"/>
              <w:pStyle w:val="ImageCaption"/>
            </w:pPr>
            <w:r>
              <w:t xml:space="preserve">Figure 4: Sankey diagram showing the relative contribution of each thematic layer and indices to the overall suitability for thinning to enhance recharge. Note that the relative contribution of each component of each index must be multiplied by the index weight to see their relative contribution to overall suitability.</w:t>
            </w:r>
          </w:p>
          <w:bookmarkEnd w:id="58"/>
        </w:tc>
      </w:tr>
    </w:tbl>
    <w:bookmarkEnd w:id="59"/>
    <w:bookmarkStart w:id="60" w:name="sensitivity-analysis"/>
    <w:p>
      <w:pPr>
        <w:pStyle w:val="Heading2"/>
      </w:pPr>
      <w:r>
        <w:t xml:space="preserve">2.3 Sensitivity Analysis</w:t>
      </w:r>
    </w:p>
    <w:p>
      <w:pPr>
        <w:pStyle w:val="FirstParagraph"/>
      </w:pPr>
      <w:r>
        <w:t xml:space="preserve">A sensitivity analysis was conducted on a subset of the data using a one-at-a-time (OAT) analysis, where each parameter was systematically removed from the VDI, SMII, SbII and final suitability. Also, for each of the indices and final suitability, the applied weights were shuffled to determine the effect of differing the weights on mean pixel values and the percentage of pixels with values over 5, 6, and 7, representing areas of moderate, high, and very high suitability, respectively, for thinning to enhance recharge. Altogether, 32 different weighting simulations and 14 removal simulations were conducted on the various indices and final suitability(see appendix tables 8-14). For each index and final suitability, the resulting indices from weight shuffling and variable removal were stacked. The Coefficient of Variation (CoV), mean, range and standard deviation were calculated for all pixels (x,y) and plotted to indicate where variability in suitability numbers manifested spatially and to understand the uncertainty in index values (see appendix:</w:t>
      </w:r>
      <w:r>
        <w:t xml:space="preserve"> </w:t>
      </w:r>
      <w:hyperlink w:anchor="sec-sa">
        <w:r>
          <w:rPr>
            <w:rStyle w:val="Hyperlink"/>
          </w:rPr>
          <w:t xml:space="preserve">Section 8.3</w:t>
        </w:r>
      </w:hyperlink>
      <w:r>
        <w:t xml:space="preserve">).</w:t>
      </w:r>
    </w:p>
    <w:bookmarkEnd w:id="60"/>
    <w:bookmarkEnd w:id="61"/>
    <w:bookmarkStart w:id="84" w:name="results"/>
    <w:p>
      <w:pPr>
        <w:pStyle w:val="Heading1"/>
      </w:pPr>
      <w:r>
        <w:t xml:space="preserve">3. Results</w:t>
      </w:r>
    </w:p>
    <w:bookmarkStart w:id="74" w:name="overall-suitability"/>
    <w:p>
      <w:pPr>
        <w:pStyle w:val="Heading3"/>
      </w:pPr>
      <w:r>
        <w:t xml:space="preserve">3.0.1 Overall Suitability</w:t>
      </w:r>
    </w:p>
    <w:p>
      <w:pPr>
        <w:pStyle w:val="FirstParagraph"/>
      </w:pPr>
      <w:r>
        <w:t xml:space="preserve">The study area contained 1.8 million</w:t>
      </w:r>
      <w:r>
        <w:t xml:space="preserve"> </w:t>
      </w:r>
      <w:r>
        <w:rPr>
          <w:i/>
          <w:iCs/>
        </w:rPr>
        <w:t xml:space="preserve">ha</w:t>
      </w:r>
      <w:r>
        <w:t xml:space="preserve"> </w:t>
      </w:r>
      <w:r>
        <w:t xml:space="preserve">of PIPO forest. Approximately 44% (807,000</w:t>
      </w:r>
      <w:r>
        <w:t xml:space="preserve"> </w:t>
      </w:r>
      <w:r>
        <w:rPr>
          <w:i/>
          <w:iCs/>
        </w:rPr>
        <w:t xml:space="preserve">ha</w:t>
      </w:r>
      <w:r>
        <w:t xml:space="preserve">) of the PIPO forest was deemed suitable (&gt; 6) and about 10% (182,000</w:t>
      </w:r>
      <w:r>
        <w:t xml:space="preserve"> </w:t>
      </w:r>
      <w:r>
        <w:rPr>
          <w:i/>
          <w:iCs/>
        </w:rPr>
        <w:t xml:space="preserve">ha)</w:t>
      </w:r>
      <w:r>
        <w:t xml:space="preserve"> </w:t>
      </w:r>
      <w:r>
        <w:t xml:space="preserve">were deemed highly suitable (&gt;7) for thinning to enhance recharge (</w:t>
      </w:r>
      <w:hyperlink w:anchor="fig-finsuit">
        <w:r>
          <w:rPr>
            <w:rStyle w:val="Hyperlink"/>
          </w:rPr>
          <w:t xml:space="preserve">Figure 5</w:t>
        </w:r>
      </w:hyperlink>
      <w:r>
        <w:t xml:space="preserve">;</w:t>
      </w:r>
      <w:r>
        <w:t xml:space="preserve"> </w:t>
      </w:r>
      <w:hyperlink w:anchor="fig-suithist">
        <w:r>
          <w:rPr>
            <w:rStyle w:val="Hyperlink"/>
          </w:rPr>
          <w:t xml:space="preserve">Figure 9</w:t>
        </w:r>
      </w:hyperlink>
      <w:r>
        <w:t xml:space="preserve"> </w:t>
      </w:r>
      <w:r>
        <w:t xml:space="preserve">in appendix). The remainder of the PIPO forest is moderate suitability, low suitability, or not suitable for thinning to enhance recharge 41% (762,000</w:t>
      </w:r>
      <w:r>
        <w:t xml:space="preserve"> </w:t>
      </w:r>
      <w:r>
        <w:rPr>
          <w:i/>
          <w:iCs/>
        </w:rPr>
        <w:t xml:space="preserve">ha</w:t>
      </w:r>
      <w:r>
        <w:t xml:space="preserve">). About 48% of the area was marginally suitable or marginally unsuitable (4 - 6), and about 8% (141,000</w:t>
      </w:r>
      <w:r>
        <w:t xml:space="preserve"> </w:t>
      </w:r>
      <w:r>
        <w:rPr>
          <w:i/>
          <w:iCs/>
        </w:rPr>
        <w:t xml:space="preserve">ha</w:t>
      </w:r>
      <w:r>
        <w:t xml:space="preserve">) was found to be unsuitable for thinning to enhance recharge.</w:t>
      </w:r>
    </w:p>
    <w:tbl>
      <w:tblPr>
        <w:tblStyle w:val="Table"/>
        <w:tblW w:type="pct" w:w="5000"/>
        <w:tblLayout w:type="fixed"/>
        <w:tblLook w:firstRow="0" w:lastRow="0" w:firstColumn="0" w:lastColumn="0" w:noHBand="0" w:noVBand="0" w:val="0000"/>
      </w:tblPr>
      <w:tblGrid>
        <w:gridCol w:w="7920"/>
      </w:tblGrid>
      <w:tr>
        <w:tc>
          <w:tcPr/>
          <w:bookmarkStart w:id="65" w:name="fig-finsuit"/>
          <w:p>
            <w:pPr>
              <w:pStyle w:val="Compact"/>
              <w:jc w:val="center"/>
            </w:pPr>
            <w:r>
              <w:drawing>
                <wp:inline>
                  <wp:extent cx="5334000" cy="1778000"/>
                  <wp:effectExtent b="0" l="0" r="0" t="0"/>
                  <wp:docPr descr="" title="" id="63" name="Picture"/>
                  <a:graphic>
                    <a:graphicData uri="http://schemas.openxmlformats.org/drawingml/2006/picture">
                      <pic:pic>
                        <pic:nvPicPr>
                          <pic:cNvPr descr="images/fig-finsuit.jpg" id="64" name="Picture"/>
                          <pic:cNvPicPr>
                            <a:picLocks noChangeArrowheads="1" noChangeAspect="1"/>
                          </pic:cNvPicPr>
                        </pic:nvPicPr>
                        <pic:blipFill>
                          <a:blip r:embed="rId62"/>
                          <a:stretch>
                            <a:fillRect/>
                          </a:stretch>
                        </pic:blipFill>
                        <pic:spPr bwMode="auto">
                          <a:xfrm>
                            <a:off x="0" y="0"/>
                            <a:ext cx="5334000" cy="1778000"/>
                          </a:xfrm>
                          <a:prstGeom prst="rect">
                            <a:avLst/>
                          </a:prstGeom>
                          <a:noFill/>
                          <a:ln w="9525">
                            <a:noFill/>
                            <a:headEnd/>
                            <a:tailEnd/>
                          </a:ln>
                        </pic:spPr>
                      </pic:pic>
                    </a:graphicData>
                  </a:graphic>
                </wp:inline>
              </w:drawing>
            </w:r>
          </w:p>
          <w:p>
            <w:pPr>
              <w:jc w:val="center"/>
            </w:pPr>
            <w:pPr>
              <w:jc w:val="start"/>
              <w:spacing w:before="200"/>
              <w:pStyle w:val="ImageCaption"/>
            </w:pPr>
            <w:r>
              <w:t xml:space="preserve">Figure 5: Suitability Map for Thinning to Enhance Groundwater Recharge</w:t>
            </w:r>
          </w:p>
          <w:bookmarkEnd w:id="65"/>
        </w:tc>
      </w:tr>
    </w:tbl>
    <w:p>
      <w:pPr>
        <w:pStyle w:val="BodyText"/>
      </w:pPr>
      <w:r>
        <w:t xml:space="preserve">4FRI has planned (through Environmental Impact Statements) or implemented thinning on about 180,000</w:t>
      </w:r>
      <w:r>
        <w:t xml:space="preserve"> </w:t>
      </w:r>
      <w:r>
        <w:rPr>
          <w:i/>
          <w:iCs/>
        </w:rPr>
        <w:t xml:space="preserve">ha</w:t>
      </w:r>
      <w:r>
        <w:t xml:space="preserve"> </w:t>
      </w:r>
      <w:r>
        <w:t xml:space="preserve">of PIPO forest</w:t>
      </w:r>
      <w:r>
        <w:t xml:space="preserve"> </w:t>
      </w:r>
      <w:r>
        <w:t xml:space="preserve">(Stewart and Williams 2025)</w:t>
      </w:r>
      <w:r>
        <w:t xml:space="preserve">. Within those areas, about 16% or 30,000</w:t>
      </w:r>
      <w:r>
        <w:t xml:space="preserve"> </w:t>
      </w:r>
      <w:r>
        <w:rPr>
          <w:i/>
          <w:iCs/>
        </w:rPr>
        <w:t xml:space="preserve">ha</w:t>
      </w:r>
      <w:r>
        <w:t xml:space="preserve"> </w:t>
      </w:r>
      <w:r>
        <w:t xml:space="preserve">are highly suitable for thinning to enhance groundwater recharge (or have suitability values &gt;= 7). Within the 4FRI planning area, there are still about 540,000 ha, which are not part of areas planned for thinning in one of the two currently existing environmental impact surveys. About 12% or 65,000 ha of that area are highly suitable for thinning to enhance groundwater recharge (or have suitability values &gt;= 7) (</w:t>
      </w:r>
      <w:hyperlink w:anchor="fig-4fri">
        <w:r>
          <w:rPr>
            <w:rStyle w:val="Hyperlink"/>
          </w:rPr>
          <w:t xml:space="preserve">Figure 6</w:t>
        </w:r>
      </w:hyperlink>
      <w:r>
        <w:t xml:space="preserve">). This information can help forest managers decide which areas to include in the next phase of planning and provide information on the co-benefits of thinning for recharge enhancement as well as forest health and fire risk mitigation.</w:t>
      </w:r>
    </w:p>
    <w:tbl>
      <w:tblPr>
        <w:tblStyle w:val="Table"/>
        <w:tblW w:type="pct" w:w="5000"/>
        <w:tblLayout w:type="fixed"/>
        <w:tblLook w:firstRow="0" w:lastRow="0" w:firstColumn="0" w:lastColumn="0" w:noHBand="0" w:noVBand="0" w:val="0000"/>
      </w:tblPr>
      <w:tblGrid>
        <w:gridCol w:w="7920"/>
      </w:tblGrid>
      <w:tr>
        <w:tc>
          <w:tcPr/>
          <w:bookmarkStart w:id="69" w:name="fig-4fri"/>
          <w:p>
            <w:pPr>
              <w:pStyle w:val="Compact"/>
              <w:jc w:val="center"/>
            </w:pPr>
            <w:r>
              <w:drawing>
                <wp:inline>
                  <wp:extent cx="5334000" cy="2667000"/>
                  <wp:effectExtent b="0" l="0" r="0" t="0"/>
                  <wp:docPr descr="" title="" id="67" name="Picture"/>
                  <a:graphic>
                    <a:graphicData uri="http://schemas.openxmlformats.org/drawingml/2006/picture">
                      <pic:pic>
                        <pic:nvPicPr>
                          <pic:cNvPr descr="images/fig-4fri.jpg" id="68" name="Picture"/>
                          <pic:cNvPicPr>
                            <a:picLocks noChangeArrowheads="1" noChangeAspect="1"/>
                          </pic:cNvPicPr>
                        </pic:nvPicPr>
                        <pic:blipFill>
                          <a:blip r:embed="rId66"/>
                          <a:stretch>
                            <a:fillRect/>
                          </a:stretch>
                        </pic:blipFill>
                        <pic:spPr bwMode="auto">
                          <a:xfrm>
                            <a:off x="0" y="0"/>
                            <a:ext cx="5334000" cy="2667000"/>
                          </a:xfrm>
                          <a:prstGeom prst="rect">
                            <a:avLst/>
                          </a:prstGeom>
                          <a:noFill/>
                          <a:ln w="9525">
                            <a:noFill/>
                            <a:headEnd/>
                            <a:tailEnd/>
                          </a:ln>
                        </pic:spPr>
                      </pic:pic>
                    </a:graphicData>
                  </a:graphic>
                </wp:inline>
              </w:drawing>
            </w:r>
          </w:p>
          <w:p>
            <w:pPr>
              <w:jc w:val="center"/>
            </w:pPr>
            <w:pPr>
              <w:jc w:val="start"/>
              <w:spacing w:before="200"/>
              <w:pStyle w:val="ImageCaption"/>
            </w:pPr>
            <w:r>
              <w:t xml:space="preserve">Figure 6: Map showing the Four Forest Restoration Initiative (4FRI) area. Suitability values greater than 7 are highlighted in red. Areas where thinning has been planned or completed are shown in green, and areas of PIPO forest that have not yet been included in an environmental impact studies are shown in grey.</w:t>
            </w:r>
          </w:p>
          <w:bookmarkEnd w:id="69"/>
        </w:tc>
      </w:tr>
    </w:tbl>
    <w:p>
      <w:pPr>
        <w:pStyle w:val="BodyText"/>
      </w:pPr>
      <w:r>
        <w:t xml:space="preserve">Large areas of high-suitability PIPO forest can also be found on the Fort Apache Reservation along the Mogollon Rim, and in Navajo Nation on the Defiance Plateau and in the Chuska Mountains, which are located to the north of the Mogollon Rim near the border between Arizona and New Mexico(</w:t>
      </w:r>
      <w:hyperlink w:anchor="fig-native">
        <w:r>
          <w:rPr>
            <w:rStyle w:val="Hyperlink"/>
          </w:rPr>
          <w:t xml:space="preserve">Figure 7</w:t>
        </w:r>
      </w:hyperlink>
      <w:r>
        <w:t xml:space="preserve">). Groundwater security is particularly important in native communities. Over 70,000 members of the Navajo Nation lack running water and haul water, often from wells</w:t>
      </w:r>
      <w:r>
        <w:t xml:space="preserve"> </w:t>
      </w:r>
      <w:r>
        <w:t xml:space="preserve">(Credo et al. 2019; L. Jones and Ingram 2022)</w:t>
      </w:r>
      <w:r>
        <w:t xml:space="preserve">.</w:t>
      </w:r>
    </w:p>
    <w:tbl>
      <w:tblPr>
        <w:tblStyle w:val="Table"/>
        <w:tblW w:type="pct" w:w="5000"/>
        <w:tblLayout w:type="fixed"/>
        <w:tblLook w:firstRow="0" w:lastRow="0" w:firstColumn="0" w:lastColumn="0" w:noHBand="0" w:noVBand="0" w:val="0000"/>
      </w:tblPr>
      <w:tblGrid>
        <w:gridCol w:w="7920"/>
      </w:tblGrid>
      <w:tr>
        <w:tc>
          <w:tcPr/>
          <w:bookmarkStart w:id="73" w:name="fig-native"/>
          <w:p>
            <w:pPr>
              <w:pStyle w:val="Compact"/>
              <w:jc w:val="center"/>
            </w:pPr>
            <w:r>
              <w:drawing>
                <wp:inline>
                  <wp:extent cx="5334000" cy="2667000"/>
                  <wp:effectExtent b="0" l="0" r="0" t="0"/>
                  <wp:docPr descr="" title="" id="71" name="Picture"/>
                  <a:graphic>
                    <a:graphicData uri="http://schemas.openxmlformats.org/drawingml/2006/picture">
                      <pic:pic>
                        <pic:nvPicPr>
                          <pic:cNvPr descr="images/fig-native.jpg" id="72" name="Picture"/>
                          <pic:cNvPicPr>
                            <a:picLocks noChangeArrowheads="1" noChangeAspect="1"/>
                          </pic:cNvPicPr>
                        </pic:nvPicPr>
                        <pic:blipFill>
                          <a:blip r:embed="rId70"/>
                          <a:stretch>
                            <a:fillRect/>
                          </a:stretch>
                        </pic:blipFill>
                        <pic:spPr bwMode="auto">
                          <a:xfrm>
                            <a:off x="0" y="0"/>
                            <a:ext cx="5334000" cy="2667000"/>
                          </a:xfrm>
                          <a:prstGeom prst="rect">
                            <a:avLst/>
                          </a:prstGeom>
                          <a:noFill/>
                          <a:ln w="9525">
                            <a:noFill/>
                            <a:headEnd/>
                            <a:tailEnd/>
                          </a:ln>
                        </pic:spPr>
                      </pic:pic>
                    </a:graphicData>
                  </a:graphic>
                </wp:inline>
              </w:drawing>
            </w:r>
          </w:p>
          <w:p>
            <w:pPr>
              <w:jc w:val="center"/>
            </w:pPr>
            <w:pPr>
              <w:jc w:val="start"/>
              <w:spacing w:before="200"/>
              <w:pStyle w:val="ImageCaption"/>
            </w:pPr>
            <w:r>
              <w:t xml:space="preserve">Figure 7: Suitability of thinning to enhance recharge in the Fort Apache Reservation (left) and Navajo Nation (right).</w:t>
            </w:r>
          </w:p>
          <w:bookmarkEnd w:id="73"/>
        </w:tc>
      </w:tr>
    </w:tbl>
    <w:bookmarkEnd w:id="74"/>
    <w:bookmarkStart w:id="83" w:name="sensitivity-analysis-results"/>
    <w:p>
      <w:pPr>
        <w:pStyle w:val="Heading3"/>
      </w:pPr>
      <w:r>
        <w:t xml:space="preserve">3.0.2 Sensitivity Analysis Results</w:t>
      </w:r>
    </w:p>
    <w:bookmarkStart w:id="75" w:name="vdi-sensitivity"/>
    <w:p>
      <w:pPr>
        <w:pStyle w:val="Heading4"/>
      </w:pPr>
      <w:r>
        <w:t xml:space="preserve">3.0.2.1 VDI Sensitivity</w:t>
      </w:r>
    </w:p>
    <w:p>
      <w:pPr>
        <w:pStyle w:val="FirstParagraph"/>
      </w:pPr>
      <w:r>
        <w:t xml:space="preserve">Shuffling the weights of sCC and sBA resulted in a relatively small (0.3) change in the mean value, of VDI, and a relatively small change in the percent of pixels which were highly suitable (&gt;7). Suggesting that either approach likely would not change the results of the final suitability very much. There were some marginal changes though the percent of moderately suitable (&gt;5) and moderately high suitable pixels (&gt;6). Some differences are also apparent when looking at the pixel-wisee variability, where large patches of forest have relatively high CoV values. After taking a closer look, these are areas with high canopy cover but low basal area, this is reassuring because it shows that these two variables are non-redundant (see appendix:</w:t>
      </w:r>
      <w:hyperlink w:anchor="tbl-sa-vdi-w">
        <w:r>
          <w:rPr>
            <w:rStyle w:val="Hyperlink"/>
          </w:rPr>
          <w:t xml:space="preserve">Table 8</w:t>
        </w:r>
      </w:hyperlink>
      <w:r>
        <w:t xml:space="preserve">;</w:t>
      </w:r>
      <w:r>
        <w:t xml:space="preserve"> </w:t>
      </w:r>
      <w:hyperlink w:anchor="fig-sa-vdi-w">
        <w:r>
          <w:rPr>
            <w:rStyle w:val="Hyperlink"/>
          </w:rPr>
          <w:t xml:space="preserve">Figure 17</w:t>
        </w:r>
      </w:hyperlink>
      <w:r>
        <w:t xml:space="preserve">). The OAT removal of each variable in VDI resulting in slightly larger changes to overall suitability than the weight swapping, removing canopy cover increased the mean value, suggesting it might be the limiting factor(see appendix:</w:t>
      </w:r>
      <w:hyperlink w:anchor="fig-sa-vdi-r">
        <w:r>
          <w:rPr>
            <w:rStyle w:val="Hyperlink"/>
          </w:rPr>
          <w:t xml:space="preserve">Figure 18</w:t>
        </w:r>
      </w:hyperlink>
      <w:r>
        <w:t xml:space="preserve">;</w:t>
      </w:r>
      <w:r>
        <w:t xml:space="preserve"> </w:t>
      </w:r>
      <w:hyperlink w:anchor="tbl-sa-vdi-r">
        <w:r>
          <w:rPr>
            <w:rStyle w:val="Hyperlink"/>
          </w:rPr>
          <w:t xml:space="preserve">Table 9</w:t>
        </w:r>
      </w:hyperlink>
      <w:r>
        <w:t xml:space="preserve">).</w:t>
      </w:r>
    </w:p>
    <w:bookmarkEnd w:id="75"/>
    <w:bookmarkStart w:id="76" w:name="smii-sensitivity"/>
    <w:p>
      <w:pPr>
        <w:pStyle w:val="Heading4"/>
      </w:pPr>
      <w:r>
        <w:t xml:space="preserve">3.0.2.2 SMII Sensitivity</w:t>
      </w:r>
    </w:p>
    <w:p>
      <w:pPr>
        <w:pStyle w:val="FirstParagraph"/>
      </w:pPr>
      <w:r>
        <w:t xml:space="preserve">SMII values increased when sTRMI had a lower weight relative to sSoilK and when sTRMI was removed. This suggests that sTRMI is limiting suitability in areas where there is high soil permeability. The inclusion of TRMI is an important aspect of recharge potential, and it is acceptable that its addition reduces suitability in some places (See appendix:</w:t>
      </w:r>
      <w:r>
        <w:t xml:space="preserve"> </w:t>
      </w:r>
      <w:hyperlink w:anchor="tbl-sa-smii-w">
        <w:r>
          <w:rPr>
            <w:rStyle w:val="Hyperlink"/>
          </w:rPr>
          <w:t xml:space="preserve">Table 10</w:t>
        </w:r>
      </w:hyperlink>
      <w:r>
        <w:t xml:space="preserve">;</w:t>
      </w:r>
      <w:r>
        <w:t xml:space="preserve"> </w:t>
      </w:r>
      <w:hyperlink w:anchor="fig-sa-smii-w">
        <w:r>
          <w:rPr>
            <w:rStyle w:val="Hyperlink"/>
          </w:rPr>
          <w:t xml:space="preserve">Figure 19</w:t>
        </w:r>
      </w:hyperlink>
      <w:r>
        <w:t xml:space="preserve">;</w:t>
      </w:r>
      <w:r>
        <w:t xml:space="preserve"> </w:t>
      </w:r>
      <w:hyperlink w:anchor="tbl-sa-smii-r">
        <w:r>
          <w:rPr>
            <w:rStyle w:val="Hyperlink"/>
          </w:rPr>
          <w:t xml:space="preserve">Table 11</w:t>
        </w:r>
      </w:hyperlink>
      <w:r>
        <w:t xml:space="preserve">;</w:t>
      </w:r>
      <w:r>
        <w:t xml:space="preserve"> </w:t>
      </w:r>
      <w:hyperlink w:anchor="fig-sa-smii-r">
        <w:r>
          <w:rPr>
            <w:rStyle w:val="Hyperlink"/>
          </w:rPr>
          <w:t xml:space="preserve">Figure 20</w:t>
        </w:r>
      </w:hyperlink>
      <w:r>
        <w:t xml:space="preserve">).</w:t>
      </w:r>
    </w:p>
    <w:bookmarkEnd w:id="76"/>
    <w:bookmarkStart w:id="77" w:name="sbii-sensitivity"/>
    <w:p>
      <w:pPr>
        <w:pStyle w:val="Heading4"/>
      </w:pPr>
      <w:r>
        <w:t xml:space="preserve">3.0.2.3 SbII Sensitivity</w:t>
      </w:r>
    </w:p>
    <w:p>
      <w:pPr>
        <w:pStyle w:val="FirstParagraph"/>
      </w:pPr>
      <w:r>
        <w:t xml:space="preserve">There were 24 possible weighting combinations for SbII, because sLD and sPK were scaled 5-10 nearly all of the area had values &gt;5. However, lower mean values and a lower percentage of high suitability pixels (&gt;7) were observed when sPo was weighted heavily. The same pattern is found when sPo was removed–higher mean and high suitability values. Suggesting the sPo is the limiting factor. sLD also appears to be a factor limiting suitability as shown by the removal of that variable and resulting lower mean suitability values. High SbII then appears to be driven permeability and Karst lithology, which is what we would expect. The variability between runs shows that these variables are non-redundant (see appendix:</w:t>
      </w:r>
      <w:r>
        <w:t xml:space="preserve"> </w:t>
      </w:r>
      <w:hyperlink w:anchor="tbl-sa-sbii-w">
        <w:r>
          <w:rPr>
            <w:rStyle w:val="Hyperlink"/>
          </w:rPr>
          <w:t xml:space="preserve">Table 12</w:t>
        </w:r>
      </w:hyperlink>
      <w:r>
        <w:t xml:space="preserve">;</w:t>
      </w:r>
      <w:r>
        <w:t xml:space="preserve"> </w:t>
      </w:r>
      <w:hyperlink w:anchor="fig-sa-sbii-w">
        <w:r>
          <w:rPr>
            <w:rStyle w:val="Hyperlink"/>
          </w:rPr>
          <w:t xml:space="preserve">Figure 21</w:t>
        </w:r>
      </w:hyperlink>
      <w:r>
        <w:t xml:space="preserve">;</w:t>
      </w:r>
      <w:r>
        <w:t xml:space="preserve"> </w:t>
      </w:r>
      <w:hyperlink w:anchor="tbl-sa-sbii-r">
        <w:r>
          <w:rPr>
            <w:rStyle w:val="Hyperlink"/>
          </w:rPr>
          <w:t xml:space="preserve">Table 13</w:t>
        </w:r>
      </w:hyperlink>
      <w:r>
        <w:t xml:space="preserve">;</w:t>
      </w:r>
      <w:r>
        <w:t xml:space="preserve"> </w:t>
      </w:r>
      <w:hyperlink w:anchor="fig-sa-sbii-r">
        <w:r>
          <w:rPr>
            <w:rStyle w:val="Hyperlink"/>
          </w:rPr>
          <w:t xml:space="preserve">Figure 22</w:t>
        </w:r>
      </w:hyperlink>
      <w:r>
        <w:t xml:space="preserve">).</w:t>
      </w:r>
    </w:p>
    <w:bookmarkEnd w:id="77"/>
    <w:bookmarkStart w:id="82" w:name="sensitivity-of-overall-suitability"/>
    <w:p>
      <w:pPr>
        <w:pStyle w:val="Heading4"/>
      </w:pPr>
      <w:r>
        <w:t xml:space="preserve">3.0.2.4 Sensitivity of Overall Suitability</w:t>
      </w:r>
    </w:p>
    <w:p>
      <w:pPr>
        <w:pStyle w:val="FirstParagraph"/>
      </w:pPr>
      <w:r>
        <w:t xml:space="preserve">Variability, or uncertainty in final suitability values was systematically examined by removing variables OAT, and shuffling weights (see appendix:</w:t>
      </w:r>
      <w:r>
        <w:t xml:space="preserve"> </w:t>
      </w:r>
      <w:hyperlink w:anchor="tbl-sa-final-w">
        <w:r>
          <w:rPr>
            <w:rStyle w:val="Hyperlink"/>
          </w:rPr>
          <w:t xml:space="preserve">Table 14</w:t>
        </w:r>
      </w:hyperlink>
      <w:r>
        <w:t xml:space="preserve">;</w:t>
      </w:r>
      <w:r>
        <w:t xml:space="preserve"> </w:t>
      </w:r>
      <w:hyperlink w:anchor="fig-sa-final-w">
        <w:r>
          <w:rPr>
            <w:rStyle w:val="Hyperlink"/>
          </w:rPr>
          <w:t xml:space="preserve">Figure 23</w:t>
        </w:r>
      </w:hyperlink>
      <w:r>
        <w:t xml:space="preserve">;</w:t>
      </w:r>
      <w:r>
        <w:t xml:space="preserve"> </w:t>
      </w:r>
      <w:hyperlink w:anchor="tbl-sa-final-r">
        <w:r>
          <w:rPr>
            <w:rStyle w:val="Hyperlink"/>
          </w:rPr>
          <w:t xml:space="preserve">Table 15</w:t>
        </w:r>
      </w:hyperlink>
      <w:r>
        <w:t xml:space="preserve">;</w:t>
      </w:r>
      <w:r>
        <w:t xml:space="preserve"> </w:t>
      </w:r>
      <w:hyperlink w:anchor="fig-sa-final-r">
        <w:r>
          <w:rPr>
            <w:rStyle w:val="Hyperlink"/>
          </w:rPr>
          <w:t xml:space="preserve">Figure 24</w:t>
        </w:r>
      </w:hyperlink>
      <w:r>
        <w:t xml:space="preserve">). The max pixel-wise CoV when swapping weights was about 0.5 or a 50% change in final suitability values. The high CoV values are mostly found in square blocks, which correspond to the SF raster’s 800m pixels before resampling, suggesting that high variability is being driven by the sSF raster primarily; their scattered distribution suggests that they may be related to noise in the precipitation data. Otherwise, variability appears high along major river channels, likely due to edge effects and having no data for some valley bottoms (</w:t>
      </w:r>
      <w:hyperlink w:anchor="fig-sa-cov-range">
        <w:r>
          <w:rPr>
            <w:rStyle w:val="Hyperlink"/>
          </w:rPr>
          <w:t xml:space="preserve">Figure 8</w:t>
        </w:r>
      </w:hyperlink>
      <w:r>
        <w:t xml:space="preserve">).</w:t>
      </w:r>
    </w:p>
    <w:tbl>
      <w:tblPr>
        <w:tblStyle w:val="Table"/>
        <w:tblW w:type="pct" w:w="5000"/>
        <w:tblLayout w:type="fixed"/>
        <w:tblLook w:firstRow="0" w:lastRow="0" w:firstColumn="0" w:lastColumn="0" w:noHBand="0" w:noVBand="0" w:val="0000"/>
      </w:tblPr>
      <w:tblGrid>
        <w:gridCol w:w="7920"/>
      </w:tblGrid>
      <w:tr>
        <w:tc>
          <w:tcPr/>
          <w:bookmarkStart w:id="81" w:name="fig-sa-cov-range"/>
          <w:p>
            <w:pPr>
              <w:pStyle w:val="Compact"/>
              <w:jc w:val="center"/>
            </w:pPr>
            <w:r>
              <w:drawing>
                <wp:inline>
                  <wp:extent cx="5334000" cy="5334000"/>
                  <wp:effectExtent b="0" l="0" r="0" t="0"/>
                  <wp:docPr descr="" title="" id="79" name="Picture"/>
                  <a:graphic>
                    <a:graphicData uri="http://schemas.openxmlformats.org/drawingml/2006/picture">
                      <pic:pic>
                        <pic:nvPicPr>
                          <pic:cNvPr descr="images/fig-sa-cov-range.jpg" id="80" name="Picture"/>
                          <pic:cNvPicPr>
                            <a:picLocks noChangeArrowheads="1" noChangeAspect="1"/>
                          </pic:cNvPicPr>
                        </pic:nvPicPr>
                        <pic:blipFill>
                          <a:blip r:embed="rId78"/>
                          <a:stretch>
                            <a:fillRect/>
                          </a:stretch>
                        </pic:blipFill>
                        <pic:spPr bwMode="auto">
                          <a:xfrm>
                            <a:off x="0" y="0"/>
                            <a:ext cx="5334000" cy="5334000"/>
                          </a:xfrm>
                          <a:prstGeom prst="rect">
                            <a:avLst/>
                          </a:prstGeom>
                          <a:noFill/>
                          <a:ln w="9525">
                            <a:noFill/>
                            <a:headEnd/>
                            <a:tailEnd/>
                          </a:ln>
                        </pic:spPr>
                      </pic:pic>
                    </a:graphicData>
                  </a:graphic>
                </wp:inline>
              </w:drawing>
            </w:r>
          </w:p>
          <w:p>
            <w:pPr>
              <w:jc w:val="center"/>
            </w:pPr>
            <w:pPr>
              <w:jc w:val="start"/>
              <w:spacing w:before="200"/>
              <w:pStyle w:val="ImageCaption"/>
            </w:pPr>
            <w:r>
              <w:t xml:space="preserve">Figure 8: Suitability analysis area and variability in final suitability from sensitivity analysis. The chosen weighting for the final layer was [0.2,0.4,0.2,0.2]; in the sensitivity analysis, these weights were shuffled, resulting in four rasters for final suitability; in each one, a different variable was weighted with 0.4 while the rest were weighted 0.2. These rasters were stacked and pixel-wise coefficient of variation (CoV) and ranges were calculated. (a) shows the entire AZH8 Study area. (b) shows the zoomed-in area where the sensitivity analysis was conducted. (c) Shows the pixel-wise range in suitability values across all four weighting scenarios, and (d) shows the CoV across all four scenarios. The highest range (3.496) and highest CoV values (0.514) both occur in large square areas similar to the size of the 800m SF pixels before resampling, suggesting that sSF is responsible for the large shifts in suitability in those locations. These could represent noise in the precipitation dataset. Variability in pixel values is also rather high along stream networks, which mimics the variability in the SMII variable caused by a high weighting of sTRMI.</w:t>
            </w:r>
          </w:p>
          <w:bookmarkEnd w:id="81"/>
        </w:tc>
      </w:tr>
    </w:tbl>
    <w:bookmarkEnd w:id="82"/>
    <w:bookmarkEnd w:id="83"/>
    <w:bookmarkEnd w:id="84"/>
    <w:bookmarkStart w:id="85" w:name="discussion-and-conclusion"/>
    <w:p>
      <w:pPr>
        <w:pStyle w:val="Heading1"/>
      </w:pPr>
      <w:r>
        <w:t xml:space="preserve">4. Discussion and Conclusion</w:t>
      </w:r>
    </w:p>
    <w:p>
      <w:pPr>
        <w:pStyle w:val="FirstParagraph"/>
      </w:pPr>
      <w:r>
        <w:t xml:space="preserve">The sensitivity analysis showed that results after weighting changes and variable removal were relatively consistent and interpretable. Changes in suitability when removing or re-weighting variables are expected if variables are non-redundant. Most of the changes in suitability values for all indices could be explained and are not at odds with the reviewed literature. The overall mean pixel-wise range for suitability values was 1.4; therefore, the suitability values for any given spot are likely uncertain by +/—1.4. Modeling or field studies could help reduce the overall uncertainty.</w:t>
      </w:r>
    </w:p>
    <w:p>
      <w:pPr>
        <w:pStyle w:val="BodyText"/>
      </w:pPr>
      <w:r>
        <w:t xml:space="preserve">This research demonstrates a novel application of GIS-MCDA for mapping areas where forest thinning could enhance groundwater recharge. The methodology here is adaptable and could be implemented in other semi-arid forested regions. More work is needed to validate suitability maps using process-based hydrologic models.</w:t>
      </w:r>
    </w:p>
    <w:p>
      <w:pPr>
        <w:pStyle w:val="BodyText"/>
      </w:pPr>
      <w:r>
        <w:t xml:space="preserve">Forest thinning is already planned in over 1 million</w:t>
      </w:r>
      <w:r>
        <w:t xml:space="preserve"> </w:t>
      </w:r>
      <w:r>
        <w:rPr>
          <w:i/>
          <w:iCs/>
        </w:rPr>
        <w:t xml:space="preserve">ha</w:t>
      </w:r>
      <w:r>
        <w:t xml:space="preserve"> </w:t>
      </w:r>
      <w:r>
        <w:t xml:space="preserve">of Arizona’s PIPO forest. Thinning is intended to reduce the risk of catastrophic wildfires, protect forest resources, enhance surface water provisioning, and improve habitat. However, we have also demonstrated that thinning will likely enhance groundwater recharge in much of the PIPO forest. This important co-benefit may increase stakeholder buy-in and strengthen justification for management actions.</w:t>
      </w:r>
    </w:p>
    <w:p>
      <w:pPr>
        <w:pStyle w:val="BodyText"/>
      </w:pPr>
      <w:r>
        <w:t xml:space="preserve">As water managers across the state struggle to secure new water supplies to meet the demands of population growth and maintain the agricultural economy, insecurity in supplies from the Colorado River means that more and more water users are turning to groundwater to fill the gap. Increased interest in thinning to enhance recharge could encourage land managers to speed-up the pace of restoration and demonstrate the value of thinning to water managers looking to improve water supply resiliency, potentially providing an alternative funding source.</w:t>
      </w:r>
    </w:p>
    <w:p>
      <w:pPr>
        <w:pStyle w:val="BodyText"/>
      </w:pPr>
      <w:r>
        <w:t xml:space="preserve">The Forest Service is mandated to manage for multiple uses; however, groundwater recharge is not currently an explicitly managed use. In 2014, the US Forest Service introduced a proposed directive that would mandate the consideration of groundwater resources within its activities. However, push-back from stakeholders and state water management agencies led to the withdrawal of this directive, with the Forest Service vowing to start over and develop ways to include groundwater resources within their planning</w:t>
      </w:r>
      <w:r>
        <w:t xml:space="preserve">(U.S. House Committee on Agriculture 2014; Lexology 2014; U.S. Forest Service 2014)</w:t>
      </w:r>
      <w:r>
        <w:t xml:space="preserve">. In 2024, the President’s Council of Advisers on Science and Technology, as part of the Bipartisan Infrastructure Law and Inflation Reduction Act explicitly recommended acceleration in the development of collaborative databases and tools to address groundwater storage, withdraw and recharge at spatial scales useful to water managers and users</w:t>
      </w:r>
      <w:r>
        <w:t xml:space="preserve">(President’s Council of Advisors on Science and Technology et al. 2024)</w:t>
      </w:r>
      <w:r>
        <w:t xml:space="preserve">. This analysis offers an a new tool to assess potential groundwater recharge at landscape scales through forest management, allowing for groundwater recharge to be managed as a co-benefit of thinning for forest health and wildfire risk reduction.</w:t>
      </w:r>
    </w:p>
    <w:p>
      <w:pPr>
        <w:pStyle w:val="BodyText"/>
      </w:pPr>
      <w:r>
        <w:t xml:space="preserve">One of the main challenges in mapping suitability at landscape scales is the lack of high-resolution data. Arizona lacks detailed hydrogeologic mapping throughout much of the state. The State Geologic map within the State Geologic Mapping Compilation contains geologic units and faults mapped to the 1:500,000 scale. However, digitized lineaments, particularly faults, are limited to very large faults state-wide and are almost completely absent in the northeastern part of the state on the Navajo Nation and Colorado Plateau.</w:t>
      </w:r>
    </w:p>
    <w:p>
      <w:pPr>
        <w:pStyle w:val="BodyText"/>
      </w:pPr>
      <w:r>
        <w:t xml:space="preserve">Groundwater is and always has been difficult to monitor and measure. However, springs are convenient locations to monitor the effects of land management on groundwater recharge. Though tracer studies are needed to connect specific springs to particular recharge areas, continuous monitoring of springs and the base flow component of perennial spring-fed rivers can inform land managers of the effectiveness of thinning in enhancing recharge and help validate suitability analyses.</w:t>
      </w:r>
    </w:p>
    <w:bookmarkEnd w:id="85"/>
    <w:bookmarkStart w:id="86" w:name="acknowledgments"/>
    <w:p>
      <w:pPr>
        <w:pStyle w:val="Heading1"/>
      </w:pPr>
      <w:r>
        <w:t xml:space="preserve">5. Acknowledgments</w:t>
      </w:r>
    </w:p>
    <w:p>
      <w:pPr>
        <w:pStyle w:val="FirstParagraph"/>
      </w:pPr>
      <w:r>
        <w:t xml:space="preserve">Thank you to the Arizona Board of Regents for funding this research through the Technology and Research Initiative Fund (TRIF) through the Arizona Tri-University Recharge and Water Reliability Project (ATUR). Thank you to all the members of ATUR for your support, guidance, and suggestions. Special thanks to Abdul Moiz for generating hydroclimate datasets used in this analysis.</w:t>
      </w:r>
    </w:p>
    <w:bookmarkEnd w:id="86"/>
    <w:bookmarkStart w:id="89" w:name="open-research"/>
    <w:p>
      <w:pPr>
        <w:pStyle w:val="Heading1"/>
      </w:pPr>
      <w:r>
        <w:t xml:space="preserve">6. Open research</w:t>
      </w:r>
    </w:p>
    <w:p>
      <w:pPr>
        <w:pStyle w:val="FirstParagraph"/>
      </w:pPr>
      <w:r>
        <w:t xml:space="preserve">The data, methods, and code base for this research can be found on github:</w:t>
      </w:r>
      <w:r>
        <w:t xml:space="preserve"> </w:t>
      </w:r>
      <w:hyperlink r:id="rId87">
        <w:r>
          <w:rPr>
            <w:rStyle w:val="Hyperlink"/>
          </w:rPr>
          <w:t xml:space="preserve">https://github.com/Ryan3Lima/ATUR-Thinning-to-enhance-recharge</w:t>
        </w:r>
      </w:hyperlink>
      <w:r>
        <w:t xml:space="preserve"> </w:t>
      </w:r>
      <w:r>
        <w:t xml:space="preserve">, in the Open Sciences Framework</w:t>
      </w:r>
      <w:r>
        <w:t xml:space="preserve"> </w:t>
      </w:r>
      <w:hyperlink r:id="rId88">
        <w:r>
          <w:rPr>
            <w:rStyle w:val="Hyperlink"/>
          </w:rPr>
          <w:t xml:space="preserve">Project</w:t>
        </w:r>
      </w:hyperlink>
      <w:r>
        <w:t xml:space="preserve"> </w:t>
      </w:r>
      <w:r>
        <w:t xml:space="preserve">associated with this work. The data will also be available on hydro-share.</w:t>
      </w:r>
    </w:p>
    <w:bookmarkEnd w:id="89"/>
    <w:bookmarkStart w:id="90" w:name="X071796dd6bc546c91e96cca1cf5ff96599de61f"/>
    <w:p>
      <w:pPr>
        <w:pStyle w:val="Heading1"/>
      </w:pPr>
      <w:r>
        <w:t xml:space="preserve">7. Declaration of generative AI and AI-assisted technologies in the writing process</w:t>
      </w:r>
    </w:p>
    <w:p>
      <w:pPr>
        <w:pStyle w:val="FirstParagraph"/>
      </w:pPr>
      <w:r>
        <w:t xml:space="preserve">During the preparation of this work, the authors used ChatGPT4o and Research Rabbit to assist in our literature review. ChatGPT4o and Github Copilot were used in developing the Python code for the analysis tools created to combine and weight layers and conduct the sensitivity analyses. The authors reviewed and edited the content as needed and take full responsibility for the content of the published article.</w:t>
      </w:r>
    </w:p>
    <w:bookmarkEnd w:id="90"/>
    <w:bookmarkStart w:id="298" w:name="references"/>
    <w:p>
      <w:pPr>
        <w:pStyle w:val="Heading1"/>
      </w:pPr>
      <w:r>
        <w:t xml:space="preserve">References</w:t>
      </w:r>
    </w:p>
    <w:bookmarkStart w:id="297" w:name="refs"/>
    <w:bookmarkStart w:id="92" w:name="ref-adams_ecohydrological_2012"/>
    <w:p>
      <w:pPr>
        <w:pStyle w:val="Bibliography"/>
      </w:pPr>
      <w:r>
        <w:t xml:space="preserve">Adams, Henry D., Charles H. Luce, David D. Breshears, Craig D. Allen, Markus Weiler, V. Cody Hale, Alistair M. S. Smith, and Travis E. Huxman. 2012.</w:t>
      </w:r>
      <w:r>
        <w:t xml:space="preserve"> </w:t>
      </w:r>
      <w:r>
        <w:t xml:space="preserve">“Ecohydrological Consequences of Drought‐ and Infestation‐ Triggered Tree Die‐off: Insights and Hypotheses.”</w:t>
      </w:r>
      <w:r>
        <w:t xml:space="preserve"> </w:t>
      </w:r>
      <w:r>
        <w:rPr>
          <w:i/>
          <w:iCs/>
        </w:rPr>
        <w:t xml:space="preserve">Ecohydrology</w:t>
      </w:r>
      <w:r>
        <w:t xml:space="preserve"> </w:t>
      </w:r>
      <w:r>
        <w:t xml:space="preserve">5 (2): 145–59.</w:t>
      </w:r>
      <w:r>
        <w:t xml:space="preserve"> </w:t>
      </w:r>
      <w:hyperlink r:id="rId91">
        <w:r>
          <w:rPr>
            <w:rStyle w:val="Hyperlink"/>
          </w:rPr>
          <w:t xml:space="preserve">https://doi.org/10.1002/eco.233</w:t>
        </w:r>
      </w:hyperlink>
      <w:r>
        <w:t xml:space="preserve">.</w:t>
      </w:r>
    </w:p>
    <w:bookmarkEnd w:id="92"/>
    <w:bookmarkStart w:id="94" w:name="ref-al-adamat2012"/>
    <w:p>
      <w:pPr>
        <w:pStyle w:val="Bibliography"/>
      </w:pPr>
      <w:r>
        <w:t xml:space="preserve">Al-Adamat, Rida. 2012.</w:t>
      </w:r>
      <w:r>
        <w:t xml:space="preserve"> </w:t>
      </w:r>
      <w:r>
        <w:t xml:space="preserve">“The Use of GIS and Google Earth for Preliminary Site Selection of Groundwater Recharge in the Azraq Oasis Area</w:t>
      </w:r>
      <w:r>
        <w:t xml:space="preserve">jordan.”</w:t>
      </w:r>
      <w:r>
        <w:t xml:space="preserve"> </w:t>
      </w:r>
      <w:r>
        <w:rPr>
          <w:i/>
          <w:iCs/>
        </w:rPr>
        <w:t xml:space="preserve">Journal of Water Resource and Protection</w:t>
      </w:r>
      <w:r>
        <w:t xml:space="preserve"> </w:t>
      </w:r>
      <w:r>
        <w:t xml:space="preserve">04 (06): 395–99.</w:t>
      </w:r>
      <w:r>
        <w:t xml:space="preserve"> </w:t>
      </w:r>
      <w:hyperlink r:id="rId93">
        <w:r>
          <w:rPr>
            <w:rStyle w:val="Hyperlink"/>
          </w:rPr>
          <w:t xml:space="preserve">https://doi.org/10.4236/jwarp.2012.46045</w:t>
        </w:r>
      </w:hyperlink>
      <w:r>
        <w:t xml:space="preserve">.</w:t>
      </w:r>
    </w:p>
    <w:bookmarkEnd w:id="94"/>
    <w:bookmarkStart w:id="96" w:name="ref-allen2002"/>
    <w:p>
      <w:pPr>
        <w:pStyle w:val="Bibliography"/>
      </w:pPr>
      <w:r>
        <w:t xml:space="preserve">Allen, Craig D., Melissa Savage, Donald A. Falk, Kieran F. Suckling, Thomas W. Swetnam, Todd Schulke, Peter B. Stacey, Penelope Morgan, Martos Hoffman, and Jon T. Klingel. 2002.</w:t>
      </w:r>
      <w:r>
        <w:t xml:space="preserve"> </w:t>
      </w:r>
      <w:r>
        <w:t xml:space="preserve">“Ecological Restoration of Southwestern Ponderosa Pine Ecosystems: A Broad Perspective.”</w:t>
      </w:r>
      <w:r>
        <w:t xml:space="preserve"> </w:t>
      </w:r>
      <w:r>
        <w:rPr>
          <w:i/>
          <w:iCs/>
        </w:rPr>
        <w:t xml:space="preserve">Ecological Applications</w:t>
      </w:r>
      <w:r>
        <w:t xml:space="preserve"> </w:t>
      </w:r>
      <w:r>
        <w:t xml:space="preserve">12 (5): 1418–33.</w:t>
      </w:r>
      <w:r>
        <w:t xml:space="preserve"> </w:t>
      </w:r>
      <w:hyperlink r:id="rId95">
        <w:r>
          <w:rPr>
            <w:rStyle w:val="Hyperlink"/>
          </w:rPr>
          <w:t xml:space="preserve">https://doi.org/10.1890/1051-0761(2002)012[1418:EROSPP]2.0.CO;2</w:t>
        </w:r>
      </w:hyperlink>
      <w:r>
        <w:t xml:space="preserve">.</w:t>
      </w:r>
    </w:p>
    <w:bookmarkEnd w:id="96"/>
    <w:bookmarkStart w:id="98" w:name="ref-baker_effects_1986"/>
    <w:p>
      <w:pPr>
        <w:pStyle w:val="Bibliography"/>
      </w:pPr>
      <w:r>
        <w:t xml:space="preserve">Baker, Malchus B. 1986.</w:t>
      </w:r>
      <w:r>
        <w:t xml:space="preserve"> </w:t>
      </w:r>
      <w:r>
        <w:t xml:space="preserve">“Effects of</w:t>
      </w:r>
      <w:r>
        <w:t xml:space="preserve"> </w:t>
      </w:r>
      <w:r>
        <w:t xml:space="preserve">Ponderosa</w:t>
      </w:r>
      <w:r>
        <w:t xml:space="preserve"> </w:t>
      </w:r>
      <w:r>
        <w:t xml:space="preserve">Pine</w:t>
      </w:r>
      <w:r>
        <w:t xml:space="preserve"> </w:t>
      </w:r>
      <w:r>
        <w:t xml:space="preserve">Treatments</w:t>
      </w:r>
      <w:r>
        <w:t xml:space="preserve"> </w:t>
      </w:r>
      <w:r>
        <w:t xml:space="preserve">on</w:t>
      </w:r>
      <w:r>
        <w:t xml:space="preserve"> </w:t>
      </w:r>
      <w:r>
        <w:t xml:space="preserve">Water</w:t>
      </w:r>
      <w:r>
        <w:t xml:space="preserve"> </w:t>
      </w:r>
      <w:r>
        <w:t xml:space="preserve">Yield</w:t>
      </w:r>
      <w:r>
        <w:t xml:space="preserve"> </w:t>
      </w:r>
      <w:r>
        <w:t xml:space="preserve">in</w:t>
      </w:r>
      <w:r>
        <w:t xml:space="preserve"> </w:t>
      </w:r>
      <w:r>
        <w:t xml:space="preserve">Arizona</w:t>
      </w:r>
      <w:r>
        <w:t xml:space="preserve">.”</w:t>
      </w:r>
      <w:r>
        <w:t xml:space="preserve"> </w:t>
      </w:r>
      <w:r>
        <w:rPr>
          <w:i/>
          <w:iCs/>
        </w:rPr>
        <w:t xml:space="preserve">Water Resources Research</w:t>
      </w:r>
      <w:r>
        <w:t xml:space="preserve"> </w:t>
      </w:r>
      <w:r>
        <w:t xml:space="preserve">22 (1): 67–73.</w:t>
      </w:r>
      <w:r>
        <w:t xml:space="preserve"> </w:t>
      </w:r>
      <w:hyperlink r:id="rId97">
        <w:r>
          <w:rPr>
            <w:rStyle w:val="Hyperlink"/>
          </w:rPr>
          <w:t xml:space="preserve">https://doi.org/10.1029/WR022i001p00067</w:t>
        </w:r>
      </w:hyperlink>
      <w:r>
        <w:t xml:space="preserve">.</w:t>
      </w:r>
    </w:p>
    <w:bookmarkEnd w:id="98"/>
    <w:bookmarkStart w:id="99" w:name="ref-baker2013"/>
    <w:p>
      <w:pPr>
        <w:pStyle w:val="Bibliography"/>
      </w:pPr>
      <w:r>
        <w:t xml:space="preserve">———. 2013.</w:t>
      </w:r>
      <w:r>
        <w:t xml:space="preserve"> </w:t>
      </w:r>
      <w:r>
        <w:t xml:space="preserve">“Chapter 10: Hydrology.”</w:t>
      </w:r>
      <w:r>
        <w:t xml:space="preserve"> </w:t>
      </w:r>
      <w:r>
        <w:t xml:space="preserve">In, 161–74. Science Practice Ecological Restoration v.2. Chicago: Island Press.</w:t>
      </w:r>
    </w:p>
    <w:bookmarkEnd w:id="99"/>
    <w:bookmarkStart w:id="101" w:name="ref-battaglia2007"/>
    <w:p>
      <w:pPr>
        <w:pStyle w:val="Bibliography"/>
      </w:pPr>
      <w:r>
        <w:t xml:space="preserve">Battaglia, Michael A, and Wayne D Shepperd. 2007.</w:t>
      </w:r>
      <w:r>
        <w:t xml:space="preserve"> </w:t>
      </w:r>
      <w:r>
        <w:t xml:space="preserve">“Chapter 2: Ponderosa Pine, Mixed Conifer, and Spruce-Fir Forests.”</w:t>
      </w:r>
      <w:r>
        <w:t xml:space="preserve"> </w:t>
      </w:r>
      <w:r>
        <w:t xml:space="preserve">In. Fort Collins, CO: USDA Forest Service, Rocky Mountain Research Station.</w:t>
      </w:r>
      <w:r>
        <w:t xml:space="preserve"> </w:t>
      </w:r>
      <w:hyperlink r:id="rId100">
        <w:r>
          <w:rPr>
            <w:rStyle w:val="Hyperlink"/>
          </w:rPr>
          <w:t xml:space="preserve">https://www.researchgate.net/profile/Mike-Battaglia/publication/259601557_Ponderosa_pine_mixed_conifer_and_spruce-fir_forests/links/0deec52d8aabe8362e000000/Ponderosa-pine-mixed-conifer-and-spruce-fir-forests.pdf?_tp=eyJjb250ZXh0Ijp7ImZpcnN0UGFnZSI6InB1YmxpY2F0aW9uIiwicGFnZSI6InB1YmxpY2F0aW9uIn19</w:t>
        </w:r>
      </w:hyperlink>
      <w:r>
        <w:t xml:space="preserve">.</w:t>
      </w:r>
    </w:p>
    <w:bookmarkEnd w:id="101"/>
    <w:bookmarkStart w:id="103" w:name="ref-belmonte2021"/>
    <w:p>
      <w:pPr>
        <w:pStyle w:val="Bibliography"/>
      </w:pPr>
      <w:r>
        <w:t xml:space="preserve">Belmonte, Adam, Temuulen Sankey, Joel Biederman, John Bradford, Scott Goetz, and Thomas Kolb. 2021.</w:t>
      </w:r>
      <w:r>
        <w:t xml:space="preserve"> </w:t>
      </w:r>
      <w:r>
        <w:t xml:space="preserve">“UAV-Based Estimate of Snow Cover Dynamics: Optimizing Semi-Arid Forest Structure for Snow Persistence.”</w:t>
      </w:r>
      <w:r>
        <w:t xml:space="preserve"> </w:t>
      </w:r>
      <w:r>
        <w:rPr>
          <w:i/>
          <w:iCs/>
        </w:rPr>
        <w:t xml:space="preserve">Remote Sensing</w:t>
      </w:r>
      <w:r>
        <w:t xml:space="preserve"> </w:t>
      </w:r>
      <w:r>
        <w:t xml:space="preserve">13 (5): 1036.</w:t>
      </w:r>
      <w:r>
        <w:t xml:space="preserve"> </w:t>
      </w:r>
      <w:hyperlink r:id="rId102">
        <w:r>
          <w:rPr>
            <w:rStyle w:val="Hyperlink"/>
          </w:rPr>
          <w:t xml:space="preserve">https://doi.org/10.3390/rs13051036</w:t>
        </w:r>
      </w:hyperlink>
      <w:r>
        <w:t xml:space="preserve">.</w:t>
      </w:r>
    </w:p>
    <w:bookmarkEnd w:id="103"/>
    <w:bookmarkStart w:id="105" w:name="ref-belmonte_soil_2022"/>
    <w:p>
      <w:pPr>
        <w:pStyle w:val="Bibliography"/>
      </w:pPr>
      <w:r>
        <w:t xml:space="preserve">Belmonte, Adam, Temuulen Ts. Sankey, Joel Biederman, John B. Bradford, and Thomas Kolb. 2022.</w:t>
      </w:r>
      <w:r>
        <w:t xml:space="preserve"> </w:t>
      </w:r>
      <w:r>
        <w:t xml:space="preserve">“Soil Moisture Response to Seasonal Drought Conditions and Post‐thinning Forest Structure.”</w:t>
      </w:r>
      <w:r>
        <w:t xml:space="preserve"> </w:t>
      </w:r>
      <w:r>
        <w:rPr>
          <w:i/>
          <w:iCs/>
        </w:rPr>
        <w:t xml:space="preserve">Ecohydrology</w:t>
      </w:r>
      <w:r>
        <w:t xml:space="preserve"> </w:t>
      </w:r>
      <w:r>
        <w:t xml:space="preserve">15 (5): e2406.</w:t>
      </w:r>
      <w:r>
        <w:t xml:space="preserve"> </w:t>
      </w:r>
      <w:hyperlink r:id="rId104">
        <w:r>
          <w:rPr>
            <w:rStyle w:val="Hyperlink"/>
          </w:rPr>
          <w:t xml:space="preserve">https://doi.org/10.1002/eco.2406</w:t>
        </w:r>
      </w:hyperlink>
      <w:r>
        <w:t xml:space="preserve">.</w:t>
      </w:r>
    </w:p>
    <w:bookmarkEnd w:id="105"/>
    <w:bookmarkStart w:id="107" w:name="ref-bennett_concurrent_2021"/>
    <w:p>
      <w:pPr>
        <w:pStyle w:val="Bibliography"/>
      </w:pPr>
      <w:r>
        <w:t xml:space="preserve">Bennett, Katrina E., Carl Talsma, and Riccardo Boero. 2021.</w:t>
      </w:r>
      <w:r>
        <w:t xml:space="preserve"> </w:t>
      </w:r>
      <w:r>
        <w:t xml:space="preserve">“Concurrent</w:t>
      </w:r>
      <w:r>
        <w:t xml:space="preserve"> </w:t>
      </w:r>
      <w:r>
        <w:t xml:space="preserve">Changes</w:t>
      </w:r>
      <w:r>
        <w:t xml:space="preserve"> </w:t>
      </w:r>
      <w:r>
        <w:t xml:space="preserve">in</w:t>
      </w:r>
      <w:r>
        <w:t xml:space="preserve"> </w:t>
      </w:r>
      <w:r>
        <w:t xml:space="preserve">Extreme</w:t>
      </w:r>
      <w:r>
        <w:t xml:space="preserve"> </w:t>
      </w:r>
      <w:r>
        <w:t xml:space="preserve">Hydroclimate</w:t>
      </w:r>
      <w:r>
        <w:t xml:space="preserve"> </w:t>
      </w:r>
      <w:r>
        <w:t xml:space="preserve">Events</w:t>
      </w:r>
      <w:r>
        <w:t xml:space="preserve"> </w:t>
      </w:r>
      <w:r>
        <w:t xml:space="preserve">in the</w:t>
      </w:r>
      <w:r>
        <w:t xml:space="preserve"> </w:t>
      </w:r>
      <w:r>
        <w:t xml:space="preserve">Colorado</w:t>
      </w:r>
      <w:r>
        <w:t xml:space="preserve"> </w:t>
      </w:r>
      <w:r>
        <w:t xml:space="preserve">River</w:t>
      </w:r>
      <w:r>
        <w:t xml:space="preserve"> </w:t>
      </w:r>
      <w:r>
        <w:t xml:space="preserve">Basin</w:t>
      </w:r>
      <w:r>
        <w:t xml:space="preserve">.”</w:t>
      </w:r>
      <w:r>
        <w:t xml:space="preserve"> </w:t>
      </w:r>
      <w:r>
        <w:rPr>
          <w:i/>
          <w:iCs/>
        </w:rPr>
        <w:t xml:space="preserve">Water</w:t>
      </w:r>
      <w:r>
        <w:t xml:space="preserve"> </w:t>
      </w:r>
      <w:r>
        <w:t xml:space="preserve">13 (7): 978.</w:t>
      </w:r>
      <w:r>
        <w:t xml:space="preserve"> </w:t>
      </w:r>
      <w:hyperlink r:id="rId106">
        <w:r>
          <w:rPr>
            <w:rStyle w:val="Hyperlink"/>
          </w:rPr>
          <w:t xml:space="preserve">https://doi.org/10.3390/w13070978</w:t>
        </w:r>
      </w:hyperlink>
      <w:r>
        <w:t xml:space="preserve">.</w:t>
      </w:r>
    </w:p>
    <w:bookmarkEnd w:id="107"/>
    <w:bookmarkStart w:id="109" w:name="ref-berner_tree_2017"/>
    <w:p>
      <w:pPr>
        <w:pStyle w:val="Bibliography"/>
      </w:pPr>
      <w:r>
        <w:t xml:space="preserve">Berner, Logan T, Beverly E Law, Arjan J H Meddens, and Jeffrey A Hicke. 2017.</w:t>
      </w:r>
      <w:r>
        <w:t xml:space="preserve"> </w:t>
      </w:r>
      <w:r>
        <w:t xml:space="preserve">“Tree Mortality from Fires, Bark Beetles, and Timber Harvest During a Hot and Dry Decade in the Western</w:t>
      </w:r>
      <w:r>
        <w:t xml:space="preserve"> </w:t>
      </w:r>
      <w:r>
        <w:t xml:space="preserve">United</w:t>
      </w:r>
      <w:r>
        <w:t xml:space="preserve"> </w:t>
      </w:r>
      <w:r>
        <w:t xml:space="preserve">States</w:t>
      </w:r>
      <w:r>
        <w:t xml:space="preserve"> </w:t>
      </w:r>
      <w:r>
        <w:t xml:space="preserve">(2003–2012).”</w:t>
      </w:r>
      <w:r>
        <w:t xml:space="preserve"> </w:t>
      </w:r>
      <w:r>
        <w:rPr>
          <w:i/>
          <w:iCs/>
        </w:rPr>
        <w:t xml:space="preserve">Environmental Research Letters</w:t>
      </w:r>
      <w:r>
        <w:t xml:space="preserve"> </w:t>
      </w:r>
      <w:r>
        <w:t xml:space="preserve">12 (6): 065005.</w:t>
      </w:r>
      <w:r>
        <w:t xml:space="preserve"> </w:t>
      </w:r>
      <w:hyperlink r:id="rId108">
        <w:r>
          <w:rPr>
            <w:rStyle w:val="Hyperlink"/>
          </w:rPr>
          <w:t xml:space="preserve">https://doi.org/10.1088/1748-9326/aa6f94</w:t>
        </w:r>
      </w:hyperlink>
      <w:r>
        <w:t xml:space="preserve">.</w:t>
      </w:r>
    </w:p>
    <w:bookmarkEnd w:id="109"/>
    <w:bookmarkStart w:id="111" w:name="ref-biederman2014"/>
    <w:p>
      <w:pPr>
        <w:pStyle w:val="Bibliography"/>
      </w:pPr>
      <w:r>
        <w:t xml:space="preserve">Biederman, J. A., A. A. Harpold, D. J. Gochis, B. E. Ewers, D. E. Reed, S. A. Papuga, and P. D. Brooks. 2014.</w:t>
      </w:r>
      <w:r>
        <w:t xml:space="preserve"> </w:t>
      </w:r>
      <w:r>
        <w:t xml:space="preserve">“Increased Evaporation Following Widespread Tree Mortality Limits Streamflow Response.”</w:t>
      </w:r>
      <w:r>
        <w:t xml:space="preserve"> </w:t>
      </w:r>
      <w:r>
        <w:rPr>
          <w:i/>
          <w:iCs/>
        </w:rPr>
        <w:t xml:space="preserve">Water Resources Research</w:t>
      </w:r>
      <w:r>
        <w:t xml:space="preserve"> </w:t>
      </w:r>
      <w:r>
        <w:t xml:space="preserve">50 (7): 5395–5409.</w:t>
      </w:r>
      <w:r>
        <w:t xml:space="preserve"> </w:t>
      </w:r>
      <w:hyperlink r:id="rId110">
        <w:r>
          <w:rPr>
            <w:rStyle w:val="Hyperlink"/>
          </w:rPr>
          <w:t xml:space="preserve">https://doi.org/10.1002/2013wr014994</w:t>
        </w:r>
      </w:hyperlink>
      <w:r>
        <w:t xml:space="preserve">.</w:t>
      </w:r>
    </w:p>
    <w:bookmarkEnd w:id="111"/>
    <w:bookmarkStart w:id="113" w:name="ref-biederman2022"/>
    <w:p>
      <w:pPr>
        <w:pStyle w:val="Bibliography"/>
      </w:pPr>
      <w:r>
        <w:t xml:space="preserve">Biederman, Joel A., Marcos D. Robles, Russell L. Scott, and John F. Knowles. 2022.</w:t>
      </w:r>
      <w:r>
        <w:t xml:space="preserve"> </w:t>
      </w:r>
      <w:r>
        <w:t xml:space="preserve">“Streamflow Response to Wildfire Differs With Season and Elevation in Adjacent Headwaters of the Lower Colorado River Basin.”</w:t>
      </w:r>
      <w:r>
        <w:t xml:space="preserve"> </w:t>
      </w:r>
      <w:r>
        <w:rPr>
          <w:i/>
          <w:iCs/>
        </w:rPr>
        <w:t xml:space="preserve">Water Resources Research</w:t>
      </w:r>
      <w:r>
        <w:t xml:space="preserve"> </w:t>
      </w:r>
      <w:r>
        <w:t xml:space="preserve">58 (3): e2021WR030687.</w:t>
      </w:r>
      <w:r>
        <w:t xml:space="preserve"> </w:t>
      </w:r>
      <w:hyperlink r:id="rId112">
        <w:r>
          <w:rPr>
            <w:rStyle w:val="Hyperlink"/>
          </w:rPr>
          <w:t xml:space="preserve">https://doi.org/10.1029/2021WR030687</w:t>
        </w:r>
      </w:hyperlink>
      <w:r>
        <w:t xml:space="preserve">.</w:t>
      </w:r>
    </w:p>
    <w:bookmarkEnd w:id="113"/>
    <w:bookmarkStart w:id="115" w:name="ref-biederman_recent_2015"/>
    <w:p>
      <w:pPr>
        <w:pStyle w:val="Bibliography"/>
      </w:pPr>
      <w:r>
        <w:t xml:space="preserve">Biederman, Joel A., Andrew J. Somor, Adrian A. Harpold, Ethan D. Gutmann, David D. Breshears, Peter A. Troch, David J. Gochis, Russell L. Scott, Arjan J. H. Meddens, and Paul D. Brooks. 2015.</w:t>
      </w:r>
      <w:r>
        <w:t xml:space="preserve"> </w:t>
      </w:r>
      <w:r>
        <w:t xml:space="preserve">“Recent Tree Die‐off Has Little Effect on Streamflow in Contrast to Expected Increases from Historical Studies.”</w:t>
      </w:r>
      <w:r>
        <w:t xml:space="preserve"> </w:t>
      </w:r>
      <w:r>
        <w:rPr>
          <w:i/>
          <w:iCs/>
        </w:rPr>
        <w:t xml:space="preserve">Water Resources Research</w:t>
      </w:r>
      <w:r>
        <w:t xml:space="preserve"> </w:t>
      </w:r>
      <w:r>
        <w:t xml:space="preserve">51 (12): 9775–89.</w:t>
      </w:r>
      <w:r>
        <w:t xml:space="preserve"> </w:t>
      </w:r>
      <w:hyperlink r:id="rId114">
        <w:r>
          <w:rPr>
            <w:rStyle w:val="Hyperlink"/>
          </w:rPr>
          <w:t xml:space="preserve">https://doi.org/10.1002/2015WR017401</w:t>
        </w:r>
      </w:hyperlink>
      <w:r>
        <w:t xml:space="preserve">.</w:t>
      </w:r>
    </w:p>
    <w:bookmarkEnd w:id="115"/>
    <w:bookmarkStart w:id="116" w:name="ref-blagojevic2019"/>
    <w:p>
      <w:pPr>
        <w:pStyle w:val="Bibliography"/>
      </w:pPr>
      <w:r>
        <w:t xml:space="preserve">Blagojević, Boško, Rikard Jonsson, Rolf Björheden, Eva-Maria Nordström, and Ola Lindroos. 2019.</w:t>
      </w:r>
      <w:r>
        <w:t xml:space="preserve"> </w:t>
      </w:r>
      <w:r>
        <w:t xml:space="preserve">“Multi-Criteria Decision Analysis (MCDA) in Forest Operations</w:t>
      </w:r>
      <w:r>
        <w:t xml:space="preserve"> </w:t>
      </w:r>
      <w:r>
        <w:t xml:space="preserve"> </w:t>
      </w:r>
      <w:r>
        <w:t xml:space="preserve">an Introductional Review.”</w:t>
      </w:r>
      <w:r>
        <w:t xml:space="preserve"> </w:t>
      </w:r>
      <w:r>
        <w:rPr>
          <w:i/>
          <w:iCs/>
        </w:rPr>
        <w:t xml:space="preserve">Croat. J. For. Eng.</w:t>
      </w:r>
    </w:p>
    <w:bookmarkEnd w:id="116"/>
    <w:bookmarkStart w:id="118" w:name="ref-blasch2006"/>
    <w:p>
      <w:pPr>
        <w:pStyle w:val="Bibliography"/>
      </w:pPr>
      <w:r>
        <w:t xml:space="preserve">Blasch, Kyle W, John P Hoffmann, Leslie F. Graser, Jeannie R. Bryson, and Alan L. Flint. 2006.</w:t>
      </w:r>
      <w:r>
        <w:t xml:space="preserve"> </w:t>
      </w:r>
      <w:r>
        <w:t xml:space="preserve">“Hydrogeology of the Upper and Middle Verde River Watersheds, Central Arizona.”</w:t>
      </w:r>
      <w:r>
        <w:t xml:space="preserve"> </w:t>
      </w:r>
      <w:hyperlink r:id="rId117">
        <w:r>
          <w:rPr>
            <w:rStyle w:val="Hyperlink"/>
          </w:rPr>
          <w:t xml:space="preserve">https://pubs.usgs.gov/sir/2005/5198/pdf/sir20055198.pdf</w:t>
        </w:r>
      </w:hyperlink>
      <w:r>
        <w:t xml:space="preserve">.</w:t>
      </w:r>
    </w:p>
    <w:bookmarkEnd w:id="118"/>
    <w:bookmarkStart w:id="120" w:name="ref-bosch1982"/>
    <w:p>
      <w:pPr>
        <w:pStyle w:val="Bibliography"/>
      </w:pPr>
      <w:r>
        <w:t xml:space="preserve">Bosch, J. M., and J. D. Hewlett. 1982.</w:t>
      </w:r>
      <w:r>
        <w:t xml:space="preserve"> </w:t>
      </w:r>
      <w:r>
        <w:t xml:space="preserve">“A Review of Catchment Experiments to Determine the Effect of Vegetation Changes on Water Yield and Evapotranspiration.”</w:t>
      </w:r>
      <w:r>
        <w:t xml:space="preserve"> </w:t>
      </w:r>
      <w:r>
        <w:rPr>
          <w:i/>
          <w:iCs/>
        </w:rPr>
        <w:t xml:space="preserve">Journal of Hydrology</w:t>
      </w:r>
      <w:r>
        <w:t xml:space="preserve"> </w:t>
      </w:r>
      <w:r>
        <w:t xml:space="preserve">55 (1-4): 3–23.</w:t>
      </w:r>
      <w:r>
        <w:t xml:space="preserve"> </w:t>
      </w:r>
      <w:hyperlink r:id="rId119">
        <w:r>
          <w:rPr>
            <w:rStyle w:val="Hyperlink"/>
          </w:rPr>
          <w:t xml:space="preserve">https://doi.org/10.1016/0022-1694(82)90117-2</w:t>
        </w:r>
      </w:hyperlink>
      <w:r>
        <w:t xml:space="preserve">.</w:t>
      </w:r>
    </w:p>
    <w:bookmarkEnd w:id="120"/>
    <w:bookmarkStart w:id="122" w:name="ref-brown_source_2005"/>
    <w:p>
      <w:pPr>
        <w:pStyle w:val="Bibliography"/>
      </w:pPr>
      <w:r>
        <w:t xml:space="preserve">Brown, Thomas C, Michael T Hobbins, and Jorge A Ramirez. 2005.</w:t>
      </w:r>
      <w:r>
        <w:t xml:space="preserve"> </w:t>
      </w:r>
      <w:r>
        <w:t xml:space="preserve">“The</w:t>
      </w:r>
      <w:r>
        <w:t xml:space="preserve"> </w:t>
      </w:r>
      <w:r>
        <w:t xml:space="preserve">Source</w:t>
      </w:r>
      <w:r>
        <w:t xml:space="preserve"> </w:t>
      </w:r>
      <w:r>
        <w:t xml:space="preserve">of</w:t>
      </w:r>
      <w:r>
        <w:t xml:space="preserve"> </w:t>
      </w:r>
      <w:r>
        <w:t xml:space="preserve">Water</w:t>
      </w:r>
      <w:r>
        <w:t xml:space="preserve"> </w:t>
      </w:r>
      <w:r>
        <w:t xml:space="preserve">Supply</w:t>
      </w:r>
      <w:r>
        <w:t xml:space="preserve"> </w:t>
      </w:r>
      <w:r>
        <w:t xml:space="preserve">in the</w:t>
      </w:r>
      <w:r>
        <w:t xml:space="preserve"> </w:t>
      </w:r>
      <w:r>
        <w:t xml:space="preserve">United</w:t>
      </w:r>
      <w:r>
        <w:t xml:space="preserve"> </w:t>
      </w:r>
      <w:r>
        <w:t xml:space="preserve">States</w:t>
      </w:r>
      <w:r>
        <w:t xml:space="preserve">.”</w:t>
      </w:r>
      <w:r>
        <w:t xml:space="preserve"> </w:t>
      </w:r>
      <w:r>
        <w:t xml:space="preserve">Discussion {Paper} RMRS-RWU-4851. Fort Collins, CO: U.S. Department of Agriculture, Forest Service, Rocky Mountain Research Station.</w:t>
      </w:r>
      <w:r>
        <w:t xml:space="preserve"> </w:t>
      </w:r>
      <w:hyperlink r:id="rId121">
        <w:r>
          <w:rPr>
            <w:rStyle w:val="Hyperlink"/>
          </w:rPr>
          <w:t xml:space="preserve">https://www.researchgate.net/profile/Jorge-Ramirez-14/publication/266272409_The_source_of_water_supply_in_the_United_States/links/54b5fcb50cf26833efd34687/The-source-of-water-supply-in-the-United-States.pdf</w:t>
        </w:r>
      </w:hyperlink>
      <w:r>
        <w:t xml:space="preserve">.</w:t>
      </w:r>
    </w:p>
    <w:bookmarkEnd w:id="122"/>
    <w:bookmarkStart w:id="124" w:name="ref-broxton2020"/>
    <w:p>
      <w:pPr>
        <w:pStyle w:val="Bibliography"/>
      </w:pPr>
      <w:r>
        <w:t xml:space="preserve">Broxton, Patrick D., Willem J. D. van Leeuwen, and Joel A. Biederman. 2020.</w:t>
      </w:r>
      <w:r>
        <w:t xml:space="preserve"> </w:t>
      </w:r>
      <w:r>
        <w:t xml:space="preserve">“Forest Cover and Topography Regulate the Thin, Ephemeral Snowpacks of the Semiarid Southwest United States.”</w:t>
      </w:r>
      <w:r>
        <w:t xml:space="preserve"> </w:t>
      </w:r>
      <w:r>
        <w:rPr>
          <w:i/>
          <w:iCs/>
        </w:rPr>
        <w:t xml:space="preserve">Ecohydrology</w:t>
      </w:r>
      <w:r>
        <w:t xml:space="preserve"> </w:t>
      </w:r>
      <w:r>
        <w:t xml:space="preserve">13 (4).</w:t>
      </w:r>
      <w:r>
        <w:t xml:space="preserve"> </w:t>
      </w:r>
      <w:hyperlink r:id="rId123">
        <w:r>
          <w:rPr>
            <w:rStyle w:val="Hyperlink"/>
          </w:rPr>
          <w:t xml:space="preserve">https://doi.org/10.1002/eco.2202</w:t>
        </w:r>
      </w:hyperlink>
      <w:r>
        <w:t xml:space="preserve">.</w:t>
      </w:r>
    </w:p>
    <w:bookmarkEnd w:id="124"/>
    <w:bookmarkStart w:id="126" w:name="ref-broxton2016"/>
    <w:p>
      <w:pPr>
        <w:pStyle w:val="Bibliography"/>
      </w:pPr>
      <w:r>
        <w:t xml:space="preserve">Broxton, Patrick D., Xubin Zeng, and Nicholas Dawson. 2016.</w:t>
      </w:r>
      <w:r>
        <w:t xml:space="preserve"> </w:t>
      </w:r>
      <w:r>
        <w:t xml:space="preserve">“Why Do Global Reanalyses and Land Data Assimilation Products Underestimate Snow Water Equivalent?”</w:t>
      </w:r>
      <w:r>
        <w:t xml:space="preserve"> </w:t>
      </w:r>
      <w:r>
        <w:rPr>
          <w:i/>
          <w:iCs/>
        </w:rPr>
        <w:t xml:space="preserve">Journal of Hydrometeorology</w:t>
      </w:r>
      <w:r>
        <w:t xml:space="preserve"> </w:t>
      </w:r>
      <w:r>
        <w:t xml:space="preserve">17 (11): 2743–61.</w:t>
      </w:r>
      <w:r>
        <w:t xml:space="preserve"> </w:t>
      </w:r>
      <w:hyperlink r:id="rId125">
        <w:r>
          <w:rPr>
            <w:rStyle w:val="Hyperlink"/>
          </w:rPr>
          <w:t xml:space="preserve">https://doi.org/10.1175/jhm-d-16-0056.1</w:t>
        </w:r>
      </w:hyperlink>
      <w:r>
        <w:t xml:space="preserve">.</w:t>
      </w:r>
    </w:p>
    <w:bookmarkEnd w:id="126"/>
    <w:bookmarkStart w:id="128" w:name="ref-broxton2024"/>
    <w:p>
      <w:pPr>
        <w:pStyle w:val="Bibliography"/>
      </w:pPr>
      <w:r>
        <w:t xml:space="preserve">Broxton, Patrick, Mohammad Reza Ehsani, and Ali Behrangi. 2024.</w:t>
      </w:r>
      <w:r>
        <w:t xml:space="preserve"> </w:t>
      </w:r>
      <w:r>
        <w:t xml:space="preserve">“Improving Mountain Snowpack Estimation Using Machine Learning With Sentinel</w:t>
      </w:r>
      <w:r>
        <w:t xml:space="preserve">-</w:t>
      </w:r>
      <w:r>
        <w:t xml:space="preserve">1, the Airborne Snow Observatory, and University of Arizona Snowpack Data.”</w:t>
      </w:r>
      <w:r>
        <w:t xml:space="preserve"> </w:t>
      </w:r>
      <w:r>
        <w:rPr>
          <w:i/>
          <w:iCs/>
        </w:rPr>
        <w:t xml:space="preserve">Earth and Space Science</w:t>
      </w:r>
      <w:r>
        <w:t xml:space="preserve"> </w:t>
      </w:r>
      <w:r>
        <w:t xml:space="preserve">11 (3).</w:t>
      </w:r>
      <w:r>
        <w:t xml:space="preserve"> </w:t>
      </w:r>
      <w:hyperlink r:id="rId127">
        <w:r>
          <w:rPr>
            <w:rStyle w:val="Hyperlink"/>
          </w:rPr>
          <w:t xml:space="preserve">https://doi.org/10.1029/2023ea002964</w:t>
        </w:r>
      </w:hyperlink>
      <w:r>
        <w:t xml:space="preserve">.</w:t>
      </w:r>
    </w:p>
    <w:bookmarkEnd w:id="128"/>
    <w:bookmarkStart w:id="130" w:name="ref-campana2014"/>
    <w:p>
      <w:pPr>
        <w:pStyle w:val="Bibliography"/>
      </w:pPr>
      <w:r>
        <w:t xml:space="preserve">Campana, Michael E. 2014.</w:t>
      </w:r>
      <w:r>
        <w:t xml:space="preserve"> </w:t>
      </w:r>
      <w:r>
        <w:t xml:space="preserve">“Groundwater Management: Quo Vadis?”</w:t>
      </w:r>
      <w:r>
        <w:t xml:space="preserve"> </w:t>
      </w:r>
      <w:r>
        <w:rPr>
          <w:i/>
          <w:iCs/>
        </w:rPr>
        <w:t xml:space="preserve">Water Resources IMPACT</w:t>
      </w:r>
      <w:r>
        <w:t xml:space="preserve">, The Future of Water REsources in the United States, 16 (1).</w:t>
      </w:r>
      <w:r>
        <w:t xml:space="preserve"> </w:t>
      </w:r>
      <w:hyperlink r:id="rId129">
        <w:r>
          <w:rPr>
            <w:rStyle w:val="Hyperlink"/>
          </w:rPr>
          <w:t xml:space="preserve">https://doi.org/10.2307/wateresoimpa.16.1.0026</w:t>
        </w:r>
      </w:hyperlink>
      <w:r>
        <w:t xml:space="preserve">.</w:t>
      </w:r>
    </w:p>
    <w:bookmarkEnd w:id="130"/>
    <w:bookmarkStart w:id="132" w:name="ref-carroll_evaluating_2016"/>
    <w:p>
      <w:pPr>
        <w:pStyle w:val="Bibliography"/>
      </w:pPr>
      <w:r>
        <w:t xml:space="preserve">Carroll, Rosemary W. H., Justin L. Huntington, Keirith A. Snyder, Richard G. Niswonger, Charles Morton, and Tamzen K. Stringham. 2016.</w:t>
      </w:r>
      <w:r>
        <w:t xml:space="preserve"> </w:t>
      </w:r>
      <w:r>
        <w:t xml:space="preserve">“Evaluating Mountain Meadow Groundwater Response to</w:t>
      </w:r>
      <w:r>
        <w:t xml:space="preserve"> </w:t>
      </w:r>
      <w:r>
        <w:t xml:space="preserve">Pinyon</w:t>
      </w:r>
      <w:r>
        <w:t xml:space="preserve">‐</w:t>
      </w:r>
      <w:r>
        <w:t xml:space="preserve">Juniper</w:t>
      </w:r>
      <w:r>
        <w:t xml:space="preserve"> </w:t>
      </w:r>
      <w:r>
        <w:t xml:space="preserve">and Temperature in a Great Basin Watershed.”</w:t>
      </w:r>
      <w:r>
        <w:t xml:space="preserve"> </w:t>
      </w:r>
      <w:r>
        <w:rPr>
          <w:i/>
          <w:iCs/>
        </w:rPr>
        <w:t xml:space="preserve">Ecohydrology</w:t>
      </w:r>
      <w:r>
        <w:t xml:space="preserve"> </w:t>
      </w:r>
      <w:r>
        <w:t xml:space="preserve">10 (1): e1792.</w:t>
      </w:r>
      <w:r>
        <w:t xml:space="preserve"> </w:t>
      </w:r>
      <w:hyperlink r:id="rId131">
        <w:r>
          <w:rPr>
            <w:rStyle w:val="Hyperlink"/>
          </w:rPr>
          <w:t xml:space="preserve">https://doi.org/10.1002/eco.1792</w:t>
        </w:r>
      </w:hyperlink>
      <w:r>
        <w:t xml:space="preserve">.</w:t>
      </w:r>
    </w:p>
    <w:bookmarkEnd w:id="132"/>
    <w:bookmarkStart w:id="134" w:name="ref-castle2014"/>
    <w:p>
      <w:pPr>
        <w:pStyle w:val="Bibliography"/>
      </w:pPr>
      <w:r>
        <w:t xml:space="preserve">Castle, Stephanie L., Brian F. Thomas, John T. Reager, Matthew Rodell, Sean C. Swenson, and James S. Famiglietti. 2014.</w:t>
      </w:r>
      <w:r>
        <w:t xml:space="preserve"> </w:t>
      </w:r>
      <w:r>
        <w:t xml:space="preserve">“Groundwater Depletion During Drought Threatens Future Water Security of the Colorado River Basin.”</w:t>
      </w:r>
      <w:r>
        <w:t xml:space="preserve"> </w:t>
      </w:r>
      <w:r>
        <w:rPr>
          <w:i/>
          <w:iCs/>
        </w:rPr>
        <w:t xml:space="preserve">Geophysical Research Letters</w:t>
      </w:r>
      <w:r>
        <w:t xml:space="preserve"> </w:t>
      </w:r>
      <w:r>
        <w:t xml:space="preserve">41 (16): 5904–11.</w:t>
      </w:r>
      <w:r>
        <w:t xml:space="preserve"> </w:t>
      </w:r>
      <w:hyperlink r:id="rId133">
        <w:r>
          <w:rPr>
            <w:rStyle w:val="Hyperlink"/>
          </w:rPr>
          <w:t xml:space="preserve">https://doi.org/10.1002/2014GL061055</w:t>
        </w:r>
      </w:hyperlink>
      <w:r>
        <w:t xml:space="preserve">.</w:t>
      </w:r>
    </w:p>
    <w:bookmarkEnd w:id="134"/>
    <w:bookmarkStart w:id="136" w:name="ref-chenini2010"/>
    <w:p>
      <w:pPr>
        <w:pStyle w:val="Bibliography"/>
      </w:pPr>
      <w:r>
        <w:t xml:space="preserve">Chenini, Ismail, Abdallah Ben Mammou, and Moufida El May. 2010.</w:t>
      </w:r>
      <w:r>
        <w:t xml:space="preserve"> </w:t>
      </w:r>
      <w:r>
        <w:t xml:space="preserve">“Groundwater Recharge Zone Mapping Using GIS-Based Multi-Criteria Analysis: A Case Study in Central Tunisia (Maknassy Basin).”</w:t>
      </w:r>
      <w:r>
        <w:t xml:space="preserve"> </w:t>
      </w:r>
      <w:r>
        <w:rPr>
          <w:i/>
          <w:iCs/>
        </w:rPr>
        <w:t xml:space="preserve">Water Resources Management</w:t>
      </w:r>
      <w:r>
        <w:t xml:space="preserve"> </w:t>
      </w:r>
      <w:r>
        <w:t xml:space="preserve">24 (5): 921–39.</w:t>
      </w:r>
      <w:r>
        <w:t xml:space="preserve"> </w:t>
      </w:r>
      <w:hyperlink r:id="rId135">
        <w:r>
          <w:rPr>
            <w:rStyle w:val="Hyperlink"/>
          </w:rPr>
          <w:t xml:space="preserve">https://doi.org/10.1007/s11269-009-9479-1</w:t>
        </w:r>
      </w:hyperlink>
      <w:r>
        <w:t xml:space="preserve">.</w:t>
      </w:r>
    </w:p>
    <w:bookmarkEnd w:id="136"/>
    <w:bookmarkStart w:id="138" w:name="ref-chowdhury2010"/>
    <w:p>
      <w:pPr>
        <w:pStyle w:val="Bibliography"/>
      </w:pPr>
      <w:r>
        <w:t xml:space="preserve">Chowdhury, Alivia, Madan K. Jha, and V. M. Chowdary. 2010.</w:t>
      </w:r>
      <w:r>
        <w:t xml:space="preserve"> </w:t>
      </w:r>
      <w:r>
        <w:t xml:space="preserve">“Delineation of Groundwater Recharge Zones and Identification of Artificial Recharge Sites in West Medinipur District, West Bengal, Using RS, GIS and MCDM Techniques.”</w:t>
      </w:r>
      <w:r>
        <w:t xml:space="preserve"> </w:t>
      </w:r>
      <w:r>
        <w:rPr>
          <w:i/>
          <w:iCs/>
        </w:rPr>
        <w:t xml:space="preserve">Environmental Earth Sciences</w:t>
      </w:r>
      <w:r>
        <w:t xml:space="preserve"> </w:t>
      </w:r>
      <w:r>
        <w:t xml:space="preserve">59 (6): 1209–22.</w:t>
      </w:r>
      <w:r>
        <w:t xml:space="preserve"> </w:t>
      </w:r>
      <w:hyperlink r:id="rId137">
        <w:r>
          <w:rPr>
            <w:rStyle w:val="Hyperlink"/>
          </w:rPr>
          <w:t xml:space="preserve">https://doi.org/10.1007/s12665-009-0110-9</w:t>
        </w:r>
      </w:hyperlink>
      <w:r>
        <w:t xml:space="preserve">.</w:t>
      </w:r>
    </w:p>
    <w:bookmarkEnd w:id="138"/>
    <w:bookmarkStart w:id="139" w:name="ref-covington_southwestern_1994"/>
    <w:p>
      <w:pPr>
        <w:pStyle w:val="Bibliography"/>
      </w:pPr>
      <w:r>
        <w:t xml:space="preserve">Covington, W. W, and Margaret M Moore. 1994.</w:t>
      </w:r>
      <w:r>
        <w:t xml:space="preserve"> </w:t>
      </w:r>
      <w:r>
        <w:t xml:space="preserve">“Southwestern Ponderosa Pine Forest Structure: Changes Since</w:t>
      </w:r>
      <w:r>
        <w:t xml:space="preserve"> </w:t>
      </w:r>
      <w:r>
        <w:t xml:space="preserve">Euro</w:t>
      </w:r>
      <w:r>
        <w:t xml:space="preserve">-</w:t>
      </w:r>
      <w:r>
        <w:t xml:space="preserve">American</w:t>
      </w:r>
      <w:r>
        <w:t xml:space="preserve"> </w:t>
      </w:r>
      <w:r>
        <w:t xml:space="preserve">Settlement.”</w:t>
      </w:r>
      <w:r>
        <w:t xml:space="preserve"> </w:t>
      </w:r>
      <w:r>
        <w:rPr>
          <w:i/>
          <w:iCs/>
        </w:rPr>
        <w:t xml:space="preserve">Journal of Forestry.</w:t>
      </w:r>
      <w:r>
        <w:t xml:space="preserve"> </w:t>
      </w:r>
      <w:r>
        <w:t xml:space="preserve">92: 39–47.</w:t>
      </w:r>
    </w:p>
    <w:bookmarkEnd w:id="139"/>
    <w:bookmarkStart w:id="141" w:name="ref-credo2019"/>
    <w:p>
      <w:pPr>
        <w:pStyle w:val="Bibliography"/>
      </w:pPr>
      <w:r>
        <w:t xml:space="preserve">Credo, Jonathan, Jaclyn Torkelson, Tommy Rock, and Jani C. Ingram. 2019.</w:t>
      </w:r>
      <w:r>
        <w:t xml:space="preserve"> </w:t>
      </w:r>
      <w:r>
        <w:t xml:space="preserve">“Quantification of Elemental Contaminants in Unregulated Water Across Western Navajo Nation.”</w:t>
      </w:r>
      <w:r>
        <w:t xml:space="preserve"> </w:t>
      </w:r>
      <w:r>
        <w:rPr>
          <w:i/>
          <w:iCs/>
        </w:rPr>
        <w:t xml:space="preserve">International Journal of Environmental Research and Public Health</w:t>
      </w:r>
      <w:r>
        <w:t xml:space="preserve"> </w:t>
      </w:r>
      <w:r>
        <w:t xml:space="preserve">16 (15): 2727.</w:t>
      </w:r>
      <w:r>
        <w:t xml:space="preserve"> </w:t>
      </w:r>
      <w:hyperlink r:id="rId140">
        <w:r>
          <w:rPr>
            <w:rStyle w:val="Hyperlink"/>
          </w:rPr>
          <w:t xml:space="preserve">https://doi.org/10.3390/ijerph16152727</w:t>
        </w:r>
      </w:hyperlink>
      <w:r>
        <w:t xml:space="preserve">.</w:t>
      </w:r>
    </w:p>
    <w:bookmarkEnd w:id="141"/>
    <w:bookmarkStart w:id="143" w:name="ref-daly2008"/>
    <w:p>
      <w:pPr>
        <w:pStyle w:val="Bibliography"/>
      </w:pPr>
      <w:r>
        <w:t xml:space="preserve">Daly, Christopher, Michael Halbleib, Joseph I. Smith, Wayne P. Gibson, Matthew K. Doggett, George H. Taylor, Jan Curtis, and Phillip P. Pasteris. 2008.</w:t>
      </w:r>
      <w:r>
        <w:t xml:space="preserve"> </w:t>
      </w:r>
      <w:r>
        <w:t xml:space="preserve">“Physiographically Sensitive Mapping of Climatological Temperature and Precipitation Across the Conterminous United States.”</w:t>
      </w:r>
      <w:r>
        <w:t xml:space="preserve"> </w:t>
      </w:r>
      <w:r>
        <w:rPr>
          <w:i/>
          <w:iCs/>
        </w:rPr>
        <w:t xml:space="preserve">International Journal of Climatology</w:t>
      </w:r>
      <w:r>
        <w:t xml:space="preserve"> </w:t>
      </w:r>
      <w:r>
        <w:t xml:space="preserve">28 (15): 2031–64.</w:t>
      </w:r>
      <w:r>
        <w:t xml:space="preserve"> </w:t>
      </w:r>
      <w:hyperlink r:id="rId142">
        <w:r>
          <w:rPr>
            <w:rStyle w:val="Hyperlink"/>
          </w:rPr>
          <w:t xml:space="preserve">https://doi.org/10.1002/joc.1688</w:t>
        </w:r>
      </w:hyperlink>
      <w:r>
        <w:t xml:space="preserve">.</w:t>
      </w:r>
    </w:p>
    <w:bookmarkEnd w:id="143"/>
    <w:bookmarkStart w:id="145" w:name="ref-dereu2013"/>
    <w:p>
      <w:pPr>
        <w:pStyle w:val="Bibliography"/>
      </w:pPr>
      <w:r>
        <w:t xml:space="preserve">De Reu, Jeroen, Jean Bourgeois, Machteld Bats, Ann Zwertvaegher, Vanessa Gelorini, Philippe De Smedt, Wei Chu, et al. 2013.</w:t>
      </w:r>
      <w:r>
        <w:t xml:space="preserve"> </w:t>
      </w:r>
      <w:r>
        <w:t xml:space="preserve">“Application of the Topographic Position Index to Heterogeneous Landscapes.”</w:t>
      </w:r>
      <w:r>
        <w:t xml:space="preserve"> </w:t>
      </w:r>
      <w:r>
        <w:rPr>
          <w:i/>
          <w:iCs/>
        </w:rPr>
        <w:t xml:space="preserve">Geomorphology</w:t>
      </w:r>
      <w:r>
        <w:t xml:space="preserve"> </w:t>
      </w:r>
      <w:r>
        <w:t xml:space="preserve">186 (March): 39–49.</w:t>
      </w:r>
      <w:r>
        <w:t xml:space="preserve"> </w:t>
      </w:r>
      <w:hyperlink r:id="rId144">
        <w:r>
          <w:rPr>
            <w:rStyle w:val="Hyperlink"/>
          </w:rPr>
          <w:t xml:space="preserve">https://doi.org/10.1016/j.geomorph.2012.12.015</w:t>
        </w:r>
      </w:hyperlink>
      <w:r>
        <w:t xml:space="preserve">.</w:t>
      </w:r>
    </w:p>
    <w:bookmarkEnd w:id="145"/>
    <w:bookmarkStart w:id="147" w:name="ref-del_campo_effectiveness_2019"/>
    <w:p>
      <w:pPr>
        <w:pStyle w:val="Bibliography"/>
      </w:pPr>
      <w:r>
        <w:t xml:space="preserve">Del Campo, Antonio D., María González-Sanchis, Antonio J. Molina, Alberto García-Prats, Carlos J. Ceacero, and Inmaculada Bautista. 2019.</w:t>
      </w:r>
      <w:r>
        <w:t xml:space="preserve"> </w:t>
      </w:r>
      <w:r>
        <w:t xml:space="preserve">“Effectiveness of Water-Oriented Thinning in Two Semiarid Forests:</w:t>
      </w:r>
      <w:r>
        <w:t xml:space="preserve"> </w:t>
      </w:r>
      <w:r>
        <w:t xml:space="preserve">The</w:t>
      </w:r>
      <w:r>
        <w:t xml:space="preserve"> </w:t>
      </w:r>
      <w:r>
        <w:t xml:space="preserve">Redistribution of Increased Net Rainfall into Soil Water, Drainage and Runoff.”</w:t>
      </w:r>
      <w:r>
        <w:t xml:space="preserve"> </w:t>
      </w:r>
      <w:r>
        <w:rPr>
          <w:i/>
          <w:iCs/>
        </w:rPr>
        <w:t xml:space="preserve">Forest Ecology and Management</w:t>
      </w:r>
      <w:r>
        <w:t xml:space="preserve"> </w:t>
      </w:r>
      <w:r>
        <w:t xml:space="preserve">438 (April): 163–75.</w:t>
      </w:r>
      <w:r>
        <w:t xml:space="preserve"> </w:t>
      </w:r>
      <w:hyperlink r:id="rId146">
        <w:r>
          <w:rPr>
            <w:rStyle w:val="Hyperlink"/>
          </w:rPr>
          <w:t xml:space="preserve">https://doi.org/10.1016/j.foreco.2019.02.020</w:t>
        </w:r>
      </w:hyperlink>
      <w:r>
        <w:t xml:space="preserve">.</w:t>
      </w:r>
    </w:p>
    <w:bookmarkEnd w:id="147"/>
    <w:bookmarkStart w:id="149" w:name="ref-del_campo_global_2022"/>
    <w:p>
      <w:pPr>
        <w:pStyle w:val="Bibliography"/>
      </w:pPr>
      <w:r>
        <w:t xml:space="preserve">Del Campo, Antonio D., Kyoichi Otsuki, Yusuf Serengil, Juan A. Blanco, Rasoul Yousefpour, and Xiaohua Wei. 2022.</w:t>
      </w:r>
      <w:r>
        <w:t xml:space="preserve"> </w:t>
      </w:r>
      <w:r>
        <w:t xml:space="preserve">“A Global Synthesis on the Effects of Thinning on Hydrological Processes:</w:t>
      </w:r>
      <w:r>
        <w:t xml:space="preserve"> </w:t>
      </w:r>
      <w:r>
        <w:t xml:space="preserve">Implications</w:t>
      </w:r>
      <w:r>
        <w:t xml:space="preserve"> </w:t>
      </w:r>
      <w:r>
        <w:t xml:space="preserve">for Forest Management.”</w:t>
      </w:r>
      <w:r>
        <w:t xml:space="preserve"> </w:t>
      </w:r>
      <w:r>
        <w:rPr>
          <w:i/>
          <w:iCs/>
        </w:rPr>
        <w:t xml:space="preserve">Forest Ecology and Management</w:t>
      </w:r>
      <w:r>
        <w:t xml:space="preserve"> </w:t>
      </w:r>
      <w:r>
        <w:t xml:space="preserve">519 (September): 120324.</w:t>
      </w:r>
      <w:r>
        <w:t xml:space="preserve"> </w:t>
      </w:r>
      <w:hyperlink r:id="rId148">
        <w:r>
          <w:rPr>
            <w:rStyle w:val="Hyperlink"/>
          </w:rPr>
          <w:t xml:space="preserve">https://doi.org/10.1016/j.foreco.2022.120324</w:t>
        </w:r>
      </w:hyperlink>
      <w:r>
        <w:t xml:space="preserve">.</w:t>
      </w:r>
    </w:p>
    <w:bookmarkEnd w:id="149"/>
    <w:bookmarkStart w:id="151" w:name="ref-donager2021"/>
    <w:p>
      <w:pPr>
        <w:pStyle w:val="Bibliography"/>
      </w:pPr>
      <w:r>
        <w:t xml:space="preserve">Donager, Jonathon, Temuulen Ts. Sankey, Andrew J. Sánchez Meador, Joel B. Sankey, and Abraham Springer. 2021.</w:t>
      </w:r>
      <w:r>
        <w:t xml:space="preserve"> </w:t>
      </w:r>
      <w:r>
        <w:t xml:space="preserve">“Integrating Airborne and Mobile Lidar Data with UAV Photogrammetry for Rapid Assessment of Changing Forest Snow Depth and Cover.”</w:t>
      </w:r>
      <w:r>
        <w:t xml:space="preserve"> </w:t>
      </w:r>
      <w:r>
        <w:rPr>
          <w:i/>
          <w:iCs/>
        </w:rPr>
        <w:t xml:space="preserve">Science of Remote Sensing</w:t>
      </w:r>
      <w:r>
        <w:t xml:space="preserve"> </w:t>
      </w:r>
      <w:r>
        <w:t xml:space="preserve">4 (December): 100029.</w:t>
      </w:r>
      <w:r>
        <w:t xml:space="preserve"> </w:t>
      </w:r>
      <w:hyperlink r:id="rId150">
        <w:r>
          <w:rPr>
            <w:rStyle w:val="Hyperlink"/>
          </w:rPr>
          <w:t xml:space="preserve">https://doi.org/10.1016/j.srs.2021.100029</w:t>
        </w:r>
      </w:hyperlink>
      <w:r>
        <w:t xml:space="preserve">.</w:t>
      </w:r>
    </w:p>
    <w:bookmarkEnd w:id="151"/>
    <w:bookmarkStart w:id="153" w:name="ref-donovan2022"/>
    <w:p>
      <w:pPr>
        <w:pStyle w:val="Bibliography"/>
      </w:pPr>
      <w:r>
        <w:t xml:space="preserve">Donovan, Keegan M., Abraham E. Springer, Benjamin W. Tobin, and Roderic A. Parnell. 2022.</w:t>
      </w:r>
      <w:r>
        <w:t xml:space="preserve"> </w:t>
      </w:r>
      <w:r>
        <w:t xml:space="preserve">“Karst Spring Processes and Storage Implications in High Elevation, Semiarid Southwestern United States.”</w:t>
      </w:r>
      <w:r>
        <w:t xml:space="preserve"> </w:t>
      </w:r>
      <w:r>
        <w:t xml:space="preserve">In, 1st ed., 35–50. Wiley.</w:t>
      </w:r>
      <w:r>
        <w:t xml:space="preserve"> </w:t>
      </w:r>
      <w:hyperlink r:id="rId152">
        <w:r>
          <w:rPr>
            <w:rStyle w:val="Hyperlink"/>
          </w:rPr>
          <w:t xml:space="preserve">https://doi.org/10.1002/9781119818625.ch4</w:t>
        </w:r>
      </w:hyperlink>
      <w:r>
        <w:t xml:space="preserve">.</w:t>
      </w:r>
    </w:p>
    <w:bookmarkEnd w:id="153"/>
    <w:bookmarkStart w:id="155" w:name="ref-dwivedi_how_2024"/>
    <w:p>
      <w:pPr>
        <w:pStyle w:val="Bibliography"/>
      </w:pPr>
      <w:r>
        <w:t xml:space="preserve">Dwivedi, Ravindra, Joel A. Biederman, Patrick D. Broxton, Jessie K. Pearl, Kangsan Lee, Bohumil M. Svoma, Willem J. D. Van Leeuwen, and Marcos D. Robles. 2024a.</w:t>
      </w:r>
      <w:r>
        <w:t xml:space="preserve"> </w:t>
      </w:r>
      <w:r>
        <w:t xml:space="preserve">“How Three-Dimensional Forest Structure Regulates the Amount and Timing of Snowmelt Across a Climatic Gradient of Snow Persistence.”</w:t>
      </w:r>
      <w:r>
        <w:t xml:space="preserve"> </w:t>
      </w:r>
      <w:r>
        <w:rPr>
          <w:i/>
          <w:iCs/>
        </w:rPr>
        <w:t xml:space="preserve">Frontiers in Water</w:t>
      </w:r>
      <w:r>
        <w:t xml:space="preserve"> </w:t>
      </w:r>
      <w:r>
        <w:t xml:space="preserve">6 (May): 1374961.</w:t>
      </w:r>
      <w:r>
        <w:t xml:space="preserve"> </w:t>
      </w:r>
      <w:hyperlink r:id="rId154">
        <w:r>
          <w:rPr>
            <w:rStyle w:val="Hyperlink"/>
          </w:rPr>
          <w:t xml:space="preserve">https://doi.org/10.3389/frwa.2024.1374961</w:t>
        </w:r>
      </w:hyperlink>
      <w:r>
        <w:t xml:space="preserve">.</w:t>
      </w:r>
    </w:p>
    <w:bookmarkEnd w:id="155"/>
    <w:bookmarkStart w:id="156" w:name="ref-dwivedi2024"/>
    <w:p>
      <w:pPr>
        <w:pStyle w:val="Bibliography"/>
      </w:pPr>
      <w:r>
        <w:t xml:space="preserve">———. 2024b.</w:t>
      </w:r>
      <w:r>
        <w:t xml:space="preserve"> </w:t>
      </w:r>
      <w:r>
        <w:t xml:space="preserve">“How Three-Dimensional Forest Structure Regulates the Amount and Timing of Snowmelt Across a Climatic Gradient of Snow Persistence.”</w:t>
      </w:r>
      <w:r>
        <w:t xml:space="preserve"> </w:t>
      </w:r>
      <w:r>
        <w:rPr>
          <w:i/>
          <w:iCs/>
        </w:rPr>
        <w:t xml:space="preserve">Frontiers in Water</w:t>
      </w:r>
      <w:r>
        <w:t xml:space="preserve"> </w:t>
      </w:r>
      <w:r>
        <w:t xml:space="preserve">6 (May): 1374961.</w:t>
      </w:r>
      <w:r>
        <w:t xml:space="preserve"> </w:t>
      </w:r>
      <w:hyperlink r:id="rId154">
        <w:r>
          <w:rPr>
            <w:rStyle w:val="Hyperlink"/>
          </w:rPr>
          <w:t xml:space="preserve">https://doi.org/10.3389/frwa.2024.1374961</w:t>
        </w:r>
      </w:hyperlink>
      <w:r>
        <w:t xml:space="preserve">.</w:t>
      </w:r>
    </w:p>
    <w:bookmarkEnd w:id="156"/>
    <w:bookmarkStart w:id="158" w:name="ref-earman2006"/>
    <w:p>
      <w:pPr>
        <w:pStyle w:val="Bibliography"/>
      </w:pPr>
      <w:r>
        <w:t xml:space="preserve">Earman, Sam, Andrew R. Campbell, Fred M. Phillips, and Brent D. Newman. 2006.</w:t>
      </w:r>
      <w:r>
        <w:t xml:space="preserve"> </w:t>
      </w:r>
      <w:r>
        <w:t xml:space="preserve">“Isotopic Exchange Between Snow and Atmospheric Water Vapor: Estimation of the Snowmelt Component of Groundwater Recharge in the Southwestern United States.”</w:t>
      </w:r>
      <w:r>
        <w:t xml:space="preserve"> </w:t>
      </w:r>
      <w:r>
        <w:rPr>
          <w:i/>
          <w:iCs/>
        </w:rPr>
        <w:t xml:space="preserve">Journal of Geophysical Research: Atmospheres</w:t>
      </w:r>
      <w:r>
        <w:t xml:space="preserve"> </w:t>
      </w:r>
      <w:r>
        <w:t xml:space="preserve">111 (D9): 2005JD006470.</w:t>
      </w:r>
      <w:r>
        <w:t xml:space="preserve"> </w:t>
      </w:r>
      <w:hyperlink r:id="rId157">
        <w:r>
          <w:rPr>
            <w:rStyle w:val="Hyperlink"/>
          </w:rPr>
          <w:t xml:space="preserve">https://doi.org/10.1029/2005JD006470</w:t>
        </w:r>
      </w:hyperlink>
      <w:r>
        <w:t xml:space="preserve">.</w:t>
      </w:r>
    </w:p>
    <w:bookmarkEnd w:id="158"/>
    <w:bookmarkStart w:id="160" w:name="ref-eastoe2023"/>
    <w:p>
      <w:pPr>
        <w:pStyle w:val="Bibliography"/>
      </w:pPr>
      <w:r>
        <w:t xml:space="preserve">Eastoe, C. J. 2023.</w:t>
      </w:r>
      <w:r>
        <w:t xml:space="preserve"> </w:t>
      </w:r>
      <w:r>
        <w:t xml:space="preserve">“Isotope Record of Groundwater Recharge Mechanisms and Climate Change in Southwestern North America.”</w:t>
      </w:r>
      <w:r>
        <w:t xml:space="preserve"> </w:t>
      </w:r>
      <w:r>
        <w:rPr>
          <w:i/>
          <w:iCs/>
        </w:rPr>
        <w:t xml:space="preserve">Applied Geochemistry</w:t>
      </w:r>
      <w:r>
        <w:t xml:space="preserve"> </w:t>
      </w:r>
      <w:r>
        <w:t xml:space="preserve">151 (April): 105604.</w:t>
      </w:r>
      <w:r>
        <w:t xml:space="preserve"> </w:t>
      </w:r>
      <w:hyperlink r:id="rId159">
        <w:r>
          <w:rPr>
            <w:rStyle w:val="Hyperlink"/>
          </w:rPr>
          <w:t xml:space="preserve">https://doi.org/10.1016/j.apgeochem.2023.105604</w:t>
        </w:r>
      </w:hyperlink>
      <w:r>
        <w:t xml:space="preserve">.</w:t>
      </w:r>
    </w:p>
    <w:bookmarkEnd w:id="160"/>
    <w:bookmarkStart w:id="162" w:name="ref-fathi2021"/>
    <w:p>
      <w:pPr>
        <w:pStyle w:val="Bibliography"/>
      </w:pPr>
      <w:r>
        <w:t xml:space="preserve">Fathi, Sajad, Jenny Sjåstad Hagen, Alessia Matanó, and Guilherme E. H. Nogueira. 2021.</w:t>
      </w:r>
      <w:r>
        <w:t xml:space="preserve"> </w:t>
      </w:r>
      <w:r>
        <w:t xml:space="preserve">“Review of GIS Multi-Criteria Decision Analysis for Managed Aquifer Recharge in Semi-Arid Regions.”</w:t>
      </w:r>
      <w:r>
        <w:t xml:space="preserve"> </w:t>
      </w:r>
      <w:r>
        <w:t xml:space="preserve">In, 19–52. Cham: Springer International Publishing.</w:t>
      </w:r>
      <w:r>
        <w:t xml:space="preserve"> </w:t>
      </w:r>
      <w:hyperlink r:id="rId161">
        <w:r>
          <w:rPr>
            <w:rStyle w:val="Hyperlink"/>
          </w:rPr>
          <w:t xml:space="preserve">https://doi.org/10.1007/978-3-030-68124-1_2</w:t>
        </w:r>
      </w:hyperlink>
      <w:r>
        <w:t xml:space="preserve">.</w:t>
      </w:r>
    </w:p>
    <w:bookmarkEnd w:id="162"/>
    <w:bookmarkStart w:id="164" w:name="ref-filoso2017"/>
    <w:p>
      <w:pPr>
        <w:pStyle w:val="Bibliography"/>
      </w:pPr>
      <w:r>
        <w:t xml:space="preserve">Filoso, Solange, Maíra Ometto Bezerra, Katherine C. B. Weiss, and Margaret A. Palmer. 2017.</w:t>
      </w:r>
      <w:r>
        <w:t xml:space="preserve"> </w:t>
      </w:r>
      <w:r>
        <w:t xml:space="preserve">“Impacts of Forest Restoration on Water Yield: A Systematic Review.”</w:t>
      </w:r>
      <w:r>
        <w:t xml:space="preserve"> </w:t>
      </w:r>
      <w:r>
        <w:rPr>
          <w:i/>
          <w:iCs/>
        </w:rPr>
        <w:t xml:space="preserve">PLOS ONE</w:t>
      </w:r>
      <w:r>
        <w:t xml:space="preserve"> </w:t>
      </w:r>
      <w:r>
        <w:t xml:space="preserve">12 (8): e0183210.</w:t>
      </w:r>
      <w:r>
        <w:t xml:space="preserve"> </w:t>
      </w:r>
      <w:hyperlink r:id="rId163">
        <w:r>
          <w:rPr>
            <w:rStyle w:val="Hyperlink"/>
          </w:rPr>
          <w:t xml:space="preserve">https://doi.org/10.1371/journal.pone.0183210</w:t>
        </w:r>
      </w:hyperlink>
      <w:r>
        <w:t xml:space="preserve">.</w:t>
      </w:r>
    </w:p>
    <w:bookmarkEnd w:id="164"/>
    <w:bookmarkStart w:id="166" w:name="ref-ford2007"/>
    <w:p>
      <w:pPr>
        <w:pStyle w:val="Bibliography"/>
      </w:pPr>
      <w:r>
        <w:t xml:space="preserve">Ford, Derek, and Paul Williams. 2007.</w:t>
      </w:r>
      <w:r>
        <w:t xml:space="preserve"> </w:t>
      </w:r>
      <w:r>
        <w:rPr>
          <w:i/>
          <w:iCs/>
        </w:rPr>
        <w:t xml:space="preserve">Karst Hydrogeology and Geomorphology</w:t>
      </w:r>
      <w:r>
        <w:t xml:space="preserve">. John Wiley; Sons, Ltd.</w:t>
      </w:r>
      <w:r>
        <w:t xml:space="preserve"> </w:t>
      </w:r>
      <w:hyperlink r:id="rId165">
        <w:r>
          <w:rPr>
            <w:rStyle w:val="Hyperlink"/>
          </w:rPr>
          <w:t xml:space="preserve">https://onlinelibrary.wiley.com/doi/book/10.1002/9781118684986</w:t>
        </w:r>
      </w:hyperlink>
      <w:r>
        <w:t xml:space="preserve">.</w:t>
      </w:r>
    </w:p>
    <w:bookmarkEnd w:id="166"/>
    <w:bookmarkStart w:id="168" w:name="ref-frank2019"/>
    <w:p>
      <w:pPr>
        <w:pStyle w:val="Bibliography"/>
      </w:pPr>
      <w:r>
        <w:t xml:space="preserve">Frank, John M., William J. Massman, Brent E. Ewers, and David G. Williams. 2019.</w:t>
      </w:r>
      <w:r>
        <w:t xml:space="preserve"> </w:t>
      </w:r>
      <w:r>
        <w:t xml:space="preserve">“Bayesian Analyses of 17 Winters of Water Vapor Fluxes Show Bark Beetles Reduce Sublimation.”</w:t>
      </w:r>
      <w:r>
        <w:t xml:space="preserve"> </w:t>
      </w:r>
      <w:r>
        <w:rPr>
          <w:i/>
          <w:iCs/>
        </w:rPr>
        <w:t xml:space="preserve">Water Resources Research</w:t>
      </w:r>
      <w:r>
        <w:t xml:space="preserve"> </w:t>
      </w:r>
      <w:r>
        <w:t xml:space="preserve">55 (2): 1598–1623.</w:t>
      </w:r>
      <w:r>
        <w:t xml:space="preserve"> </w:t>
      </w:r>
      <w:hyperlink r:id="rId167">
        <w:r>
          <w:rPr>
            <w:rStyle w:val="Hyperlink"/>
          </w:rPr>
          <w:t xml:space="preserve">https://doi.org/10.1029/2018wr023054</w:t>
        </w:r>
      </w:hyperlink>
      <w:r>
        <w:t xml:space="preserve">.</w:t>
      </w:r>
    </w:p>
    <w:bookmarkEnd w:id="168"/>
    <w:bookmarkStart w:id="169" w:name="ref-freeze1979"/>
    <w:p>
      <w:pPr>
        <w:pStyle w:val="Bibliography"/>
      </w:pPr>
      <w:r>
        <w:t xml:space="preserve">Freeze, R. Allan, and John A. Cherry. 1979.</w:t>
      </w:r>
      <w:r>
        <w:t xml:space="preserve"> </w:t>
      </w:r>
      <w:r>
        <w:rPr>
          <w:i/>
          <w:iCs/>
        </w:rPr>
        <w:t xml:space="preserve">Groundwater</w:t>
      </w:r>
      <w:r>
        <w:t xml:space="preserve">. Englewood Cliffs, N.J: Prentice-Hall.</w:t>
      </w:r>
    </w:p>
    <w:bookmarkEnd w:id="169"/>
    <w:bookmarkStart w:id="170" w:name="ref-friederici2013"/>
    <w:p>
      <w:pPr>
        <w:pStyle w:val="Bibliography"/>
      </w:pPr>
      <w:r>
        <w:t xml:space="preserve">Friederici, Peter. 2013.</w:t>
      </w:r>
      <w:r>
        <w:t xml:space="preserve"> </w:t>
      </w:r>
      <w:r>
        <w:rPr>
          <w:i/>
          <w:iCs/>
        </w:rPr>
        <w:t xml:space="preserve">Ecological Restoration of Southwestern Ponderosa Pine Forests</w:t>
      </w:r>
      <w:r>
        <w:t xml:space="preserve">. Science Practice Ecological Restoration v.2. Chicago: Island Press.</w:t>
      </w:r>
    </w:p>
    <w:bookmarkEnd w:id="170"/>
    <w:bookmarkStart w:id="172" w:name="ref-gottfried_moderate_1991"/>
    <w:p>
      <w:pPr>
        <w:pStyle w:val="Bibliography"/>
      </w:pPr>
      <w:r>
        <w:t xml:space="preserve">Gottfried, Gerald J. 1991.</w:t>
      </w:r>
      <w:r>
        <w:t xml:space="preserve"> </w:t>
      </w:r>
      <w:r>
        <w:t xml:space="preserve">“Moderate Timber Harvesting Increases Water Yields from an</w:t>
      </w:r>
      <w:r>
        <w:t xml:space="preserve"> </w:t>
      </w:r>
      <w:r>
        <w:t xml:space="preserve">Arizona</w:t>
      </w:r>
      <w:r>
        <w:t xml:space="preserve"> </w:t>
      </w:r>
      <w:r>
        <w:t xml:space="preserve">Mixed</w:t>
      </w:r>
      <w:r>
        <w:t xml:space="preserve"> </w:t>
      </w:r>
      <w:r>
        <w:t xml:space="preserve">Conifer</w:t>
      </w:r>
      <w:r>
        <w:t xml:space="preserve"> </w:t>
      </w:r>
      <w:r>
        <w:t xml:space="preserve">Watershed</w:t>
      </w:r>
      <w:r>
        <w:t xml:space="preserve">.”</w:t>
      </w:r>
      <w:r>
        <w:t xml:space="preserve"> </w:t>
      </w:r>
      <w:r>
        <w:rPr>
          <w:i/>
          <w:iCs/>
        </w:rPr>
        <w:t xml:space="preserve">JAWRA Journal of the American Water Resources Association</w:t>
      </w:r>
      <w:r>
        <w:t xml:space="preserve"> </w:t>
      </w:r>
      <w:r>
        <w:t xml:space="preserve">27 (3): 537–46.</w:t>
      </w:r>
      <w:r>
        <w:t xml:space="preserve"> </w:t>
      </w:r>
      <w:hyperlink r:id="rId171">
        <w:r>
          <w:rPr>
            <w:rStyle w:val="Hyperlink"/>
          </w:rPr>
          <w:t xml:space="preserve">https://onlinelibrary.wiley.com/doi/abs/10.1111/j.1752-1688.1991.tb01454.x</w:t>
        </w:r>
      </w:hyperlink>
      <w:r>
        <w:t xml:space="preserve">.</w:t>
      </w:r>
    </w:p>
    <w:bookmarkEnd w:id="172"/>
    <w:bookmarkStart w:id="174" w:name="ref-halihan1998"/>
    <w:p>
      <w:pPr>
        <w:pStyle w:val="Bibliography"/>
      </w:pPr>
      <w:r>
        <w:t xml:space="preserve">Halihan, Todd, and Carol M. Wicks. 1998.</w:t>
      </w:r>
      <w:r>
        <w:t xml:space="preserve"> </w:t>
      </w:r>
      <w:r>
        <w:t xml:space="preserve">“Modeling of Storm Responses in Conduit Flow Aquifers with Reservoirs.”</w:t>
      </w:r>
      <w:r>
        <w:t xml:space="preserve"> </w:t>
      </w:r>
      <w:r>
        <w:rPr>
          <w:i/>
          <w:iCs/>
        </w:rPr>
        <w:t xml:space="preserve">Journal of Hydrology</w:t>
      </w:r>
      <w:r>
        <w:t xml:space="preserve"> </w:t>
      </w:r>
      <w:r>
        <w:t xml:space="preserve">208 (1-2): 82–91.</w:t>
      </w:r>
      <w:r>
        <w:t xml:space="preserve"> </w:t>
      </w:r>
      <w:hyperlink r:id="rId173">
        <w:r>
          <w:rPr>
            <w:rStyle w:val="Hyperlink"/>
          </w:rPr>
          <w:t xml:space="preserve">https://doi.org/10.1016/s0022-1694(98)00149-8</w:t>
        </w:r>
      </w:hyperlink>
      <w:r>
        <w:t xml:space="preserve">.</w:t>
      </w:r>
    </w:p>
    <w:bookmarkEnd w:id="174"/>
    <w:bookmarkStart w:id="175" w:name="ref-hansen2024"/>
    <w:p>
      <w:pPr>
        <w:pStyle w:val="Bibliography"/>
      </w:pPr>
      <w:r>
        <w:t xml:space="preserve">Hansen, Kristina, Brad Gaolach, Steven Buck, Robert Heinse, Derek Godwin, Ginger Paige, Hope Braithwaite, Travis Warziniack, and Sam Fernald. 2024.</w:t>
      </w:r>
      <w:r>
        <w:t xml:space="preserve"> </w:t>
      </w:r>
      <w:r>
        <w:t xml:space="preserve">“The Western Water Network: A Vision for the Future of Water Management in the West.”</w:t>
      </w:r>
    </w:p>
    <w:bookmarkEnd w:id="175"/>
    <w:bookmarkStart w:id="177" w:name="ref-harpold2013"/>
    <w:p>
      <w:pPr>
        <w:pStyle w:val="Bibliography"/>
      </w:pPr>
      <w:r>
        <w:t xml:space="preserve">Harpold, Adrian A., Joel A. Biederman, Katherine Condon, Manuel Merino, Yoganand Korgaonkar, Tongchao Nan, Lindsey L. Sloat, Morgan Ross, and Paul D. Brooks. 2013.</w:t>
      </w:r>
      <w:r>
        <w:t xml:space="preserve"> </w:t>
      </w:r>
      <w:r>
        <w:t xml:space="preserve">“Changes in Snow Accumulation and Ablation Following the Las Conchas Forest Fire, New Mexico, USA.”</w:t>
      </w:r>
      <w:r>
        <w:t xml:space="preserve"> </w:t>
      </w:r>
      <w:r>
        <w:rPr>
          <w:i/>
          <w:iCs/>
        </w:rPr>
        <w:t xml:space="preserve">Ecohydrology</w:t>
      </w:r>
      <w:r>
        <w:t xml:space="preserve"> </w:t>
      </w:r>
      <w:r>
        <w:t xml:space="preserve">7 (2): 440–52.</w:t>
      </w:r>
      <w:r>
        <w:t xml:space="preserve"> </w:t>
      </w:r>
      <w:hyperlink r:id="rId176">
        <w:r>
          <w:rPr>
            <w:rStyle w:val="Hyperlink"/>
          </w:rPr>
          <w:t xml:space="preserve">https://doi.org/10.1002/eco.1363</w:t>
        </w:r>
      </w:hyperlink>
      <w:r>
        <w:t xml:space="preserve">.</w:t>
      </w:r>
    </w:p>
    <w:bookmarkEnd w:id="177"/>
    <w:bookmarkStart w:id="178" w:name="ref-hibbert1979"/>
    <w:p>
      <w:pPr>
        <w:pStyle w:val="Bibliography"/>
      </w:pPr>
      <w:r>
        <w:t xml:space="preserve">Hibbert, Alden R. 1979.</w:t>
      </w:r>
      <w:r>
        <w:t xml:space="preserve"> </w:t>
      </w:r>
      <w:r>
        <w:t xml:space="preserve">“Managing Vegetation to Increase Flow in the Colorado River Basin.”</w:t>
      </w:r>
      <w:r>
        <w:t xml:space="preserve"> </w:t>
      </w:r>
      <w:r>
        <w:t xml:space="preserve">Fort Collins, CO.</w:t>
      </w:r>
    </w:p>
    <w:bookmarkEnd w:id="178"/>
    <w:bookmarkStart w:id="180" w:name="ref-hogan_recent_2024"/>
    <w:p>
      <w:pPr>
        <w:pStyle w:val="Bibliography"/>
      </w:pPr>
      <w:r>
        <w:t xml:space="preserve">Hogan, Daniel, and Jessica D. Lundquist. 2024.</w:t>
      </w:r>
      <w:r>
        <w:t xml:space="preserve"> </w:t>
      </w:r>
      <w:r>
        <w:t xml:space="preserve">“Recent</w:t>
      </w:r>
      <w:r>
        <w:t xml:space="preserve"> </w:t>
      </w:r>
      <w:r>
        <w:t xml:space="preserve">Upper</w:t>
      </w:r>
      <w:r>
        <w:t xml:space="preserve"> </w:t>
      </w:r>
      <w:r>
        <w:t xml:space="preserve">Colorado</w:t>
      </w:r>
      <w:r>
        <w:t xml:space="preserve"> </w:t>
      </w:r>
      <w:r>
        <w:t xml:space="preserve">River</w:t>
      </w:r>
      <w:r>
        <w:t xml:space="preserve"> </w:t>
      </w:r>
      <w:r>
        <w:t xml:space="preserve">Streamflow</w:t>
      </w:r>
      <w:r>
        <w:t xml:space="preserve"> </w:t>
      </w:r>
      <w:r>
        <w:t xml:space="preserve">Declines</w:t>
      </w:r>
      <w:r>
        <w:t xml:space="preserve"> </w:t>
      </w:r>
      <w:r>
        <w:t xml:space="preserve">Driven</w:t>
      </w:r>
      <w:r>
        <w:t xml:space="preserve"> </w:t>
      </w:r>
      <w:r>
        <w:t xml:space="preserve">by</w:t>
      </w:r>
      <w:r>
        <w:t xml:space="preserve"> </w:t>
      </w:r>
      <w:r>
        <w:t xml:space="preserve">Loss</w:t>
      </w:r>
      <w:r>
        <w:t xml:space="preserve"> </w:t>
      </w:r>
      <w:r>
        <w:t xml:space="preserve">of</w:t>
      </w:r>
      <w:r>
        <w:t xml:space="preserve"> </w:t>
      </w:r>
      <w:r>
        <w:t xml:space="preserve">Spring</w:t>
      </w:r>
      <w:r>
        <w:t xml:space="preserve"> </w:t>
      </w:r>
      <w:r>
        <w:t xml:space="preserve">Precipitation</w:t>
      </w:r>
      <w:r>
        <w:t xml:space="preserve">.”</w:t>
      </w:r>
      <w:r>
        <w:t xml:space="preserve"> </w:t>
      </w:r>
      <w:r>
        <w:rPr>
          <w:i/>
          <w:iCs/>
        </w:rPr>
        <w:t xml:space="preserve">Geophysical Research Letters</w:t>
      </w:r>
      <w:r>
        <w:t xml:space="preserve"> </w:t>
      </w:r>
      <w:r>
        <w:t xml:space="preserve">51 (16): e2024GL109826.</w:t>
      </w:r>
      <w:r>
        <w:t xml:space="preserve"> </w:t>
      </w:r>
      <w:hyperlink r:id="rId179">
        <w:r>
          <w:rPr>
            <w:rStyle w:val="Hyperlink"/>
          </w:rPr>
          <w:t xml:space="preserve">https://doi.org/10.1029/2024GL109826</w:t>
        </w:r>
      </w:hyperlink>
      <w:r>
        <w:t xml:space="preserve">.</w:t>
      </w:r>
    </w:p>
    <w:bookmarkEnd w:id="180"/>
    <w:bookmarkStart w:id="182" w:name="ref-huntoon1974"/>
    <w:p>
      <w:pPr>
        <w:pStyle w:val="Bibliography"/>
      </w:pPr>
      <w:r>
        <w:t xml:space="preserve">Huntoon, Peter W. 1974.</w:t>
      </w:r>
      <w:r>
        <w:t xml:space="preserve"> </w:t>
      </w:r>
      <w:r>
        <w:t xml:space="preserve">“The Karstic Groundwater Basins of the Kaibab Plateau, Arizona.”</w:t>
      </w:r>
      <w:r>
        <w:t xml:space="preserve"> </w:t>
      </w:r>
      <w:r>
        <w:rPr>
          <w:i/>
          <w:iCs/>
        </w:rPr>
        <w:t xml:space="preserve">Water Resources Research</w:t>
      </w:r>
      <w:r>
        <w:t xml:space="preserve"> </w:t>
      </w:r>
      <w:r>
        <w:t xml:space="preserve">10 (3): 579–90.</w:t>
      </w:r>
      <w:r>
        <w:t xml:space="preserve"> </w:t>
      </w:r>
      <w:hyperlink r:id="rId181">
        <w:r>
          <w:rPr>
            <w:rStyle w:val="Hyperlink"/>
          </w:rPr>
          <w:t xml:space="preserve">https://doi.org/10.1029/WR010i003p00579</w:t>
        </w:r>
      </w:hyperlink>
      <w:r>
        <w:t xml:space="preserve">.</w:t>
      </w:r>
    </w:p>
    <w:bookmarkEnd w:id="182"/>
    <w:bookmarkStart w:id="184" w:name="ref-huscroft2018"/>
    <w:p>
      <w:pPr>
        <w:pStyle w:val="Bibliography"/>
      </w:pPr>
      <w:r>
        <w:t xml:space="preserve">Huscroft, Jordan, Tom Gleeson, Jens Hartmann, and Janine Börker. 2018.</w:t>
      </w:r>
      <w:r>
        <w:t xml:space="preserve"> </w:t>
      </w:r>
      <w:r>
        <w:t xml:space="preserve">“Compiling and Mapping Global Permeability of the Unconsolidated and Consolidated Earth: GLobal HYdrogeology MaPS 2.0 (GLHYMPS 2.0).”</w:t>
      </w:r>
      <w:r>
        <w:t xml:space="preserve"> </w:t>
      </w:r>
      <w:r>
        <w:rPr>
          <w:i/>
          <w:iCs/>
        </w:rPr>
        <w:t xml:space="preserve">Geophysical Research Letters</w:t>
      </w:r>
      <w:r>
        <w:t xml:space="preserve"> </w:t>
      </w:r>
      <w:r>
        <w:t xml:space="preserve">45 (4): 1897–1904.</w:t>
      </w:r>
      <w:r>
        <w:t xml:space="preserve"> </w:t>
      </w:r>
      <w:hyperlink r:id="rId183">
        <w:r>
          <w:rPr>
            <w:rStyle w:val="Hyperlink"/>
          </w:rPr>
          <w:t xml:space="preserve">https://doi.org/10.1002/2017GL075860</w:t>
        </w:r>
      </w:hyperlink>
      <w:r>
        <w:t xml:space="preserve">.</w:t>
      </w:r>
    </w:p>
    <w:bookmarkEnd w:id="184"/>
    <w:bookmarkStart w:id="186" w:name="ref-iglesias2022"/>
    <w:p>
      <w:pPr>
        <w:pStyle w:val="Bibliography"/>
      </w:pPr>
      <w:r>
        <w:t xml:space="preserve">Iglesias, Virginia, Jennifer K. Balch, and William R. Travis. 2022.</w:t>
      </w:r>
      <w:r>
        <w:t xml:space="preserve"> </w:t>
      </w:r>
      <w:r>
        <w:t xml:space="preserve">“U.S. Fires Became Larger, More Frequent, and More Widespread in the 2000s.”</w:t>
      </w:r>
      <w:r>
        <w:t xml:space="preserve"> </w:t>
      </w:r>
      <w:r>
        <w:rPr>
          <w:i/>
          <w:iCs/>
        </w:rPr>
        <w:t xml:space="preserve">Science Advances</w:t>
      </w:r>
      <w:r>
        <w:t xml:space="preserve"> </w:t>
      </w:r>
      <w:r>
        <w:t xml:space="preserve">8 (11).</w:t>
      </w:r>
      <w:r>
        <w:t xml:space="preserve"> </w:t>
      </w:r>
      <w:hyperlink r:id="rId185">
        <w:r>
          <w:rPr>
            <w:rStyle w:val="Hyperlink"/>
          </w:rPr>
          <w:t xml:space="preserve">https://doi.org/10.1126/sciadv.abc0020</w:t>
        </w:r>
      </w:hyperlink>
      <w:r>
        <w:t xml:space="preserve">.</w:t>
      </w:r>
    </w:p>
    <w:bookmarkEnd w:id="186"/>
    <w:bookmarkStart w:id="188" w:name="ref-jasiewicz2013"/>
    <w:p>
      <w:pPr>
        <w:pStyle w:val="Bibliography"/>
      </w:pPr>
      <w:r>
        <w:t xml:space="preserve">Jasiewicz, Jarosław, and Tomasz F. Stepinski. 2013.</w:t>
      </w:r>
      <w:r>
        <w:t xml:space="preserve"> </w:t>
      </w:r>
      <w:r>
        <w:t xml:space="preserve">“Geomorphons</w:t>
      </w:r>
      <w:r>
        <w:t xml:space="preserve"> </w:t>
      </w:r>
      <w:r>
        <w:t xml:space="preserve"> </w:t>
      </w:r>
      <w:r>
        <w:t xml:space="preserve">a Pattern Recognition Approach to Classification and Mapping of Landforms.”</w:t>
      </w:r>
      <w:r>
        <w:t xml:space="preserve"> </w:t>
      </w:r>
      <w:r>
        <w:rPr>
          <w:i/>
          <w:iCs/>
        </w:rPr>
        <w:t xml:space="preserve">Geomorphology</w:t>
      </w:r>
      <w:r>
        <w:t xml:space="preserve"> </w:t>
      </w:r>
      <w:r>
        <w:t xml:space="preserve">182 (January): 147–56.</w:t>
      </w:r>
      <w:r>
        <w:t xml:space="preserve"> </w:t>
      </w:r>
      <w:hyperlink r:id="rId187">
        <w:r>
          <w:rPr>
            <w:rStyle w:val="Hyperlink"/>
          </w:rPr>
          <w:t xml:space="preserve">https://doi.org/10.1016/j.geomorph.2012.11.005</w:t>
        </w:r>
      </w:hyperlink>
      <w:r>
        <w:t xml:space="preserve">.</w:t>
      </w:r>
    </w:p>
    <w:bookmarkEnd w:id="188"/>
    <w:bookmarkStart w:id="190" w:name="ref-jones2018"/>
    <w:p>
      <w:pPr>
        <w:pStyle w:val="Bibliography"/>
      </w:pPr>
      <w:r>
        <w:t xml:space="preserve">Jones, Casey J. R., Abraham E. Springer, Benjamin W. Tobin, Sarah J. Zappitello, and Natalie A. Jones. 2018.</w:t>
      </w:r>
      <w:r>
        <w:t xml:space="preserve"> </w:t>
      </w:r>
      <w:r>
        <w:t xml:space="preserve">“Characterization and Hydraulic Behaviour of the Complex Karst of the Kaibab Plateau and Grand Canyon National Park, USA.”</w:t>
      </w:r>
      <w:r>
        <w:t xml:space="preserve"> </w:t>
      </w:r>
      <w:r>
        <w:rPr>
          <w:i/>
          <w:iCs/>
        </w:rPr>
        <w:t xml:space="preserve">Geological Society, London, Special Publications</w:t>
      </w:r>
      <w:r>
        <w:t xml:space="preserve"> </w:t>
      </w:r>
      <w:r>
        <w:t xml:space="preserve">466 (1): 237–60.</w:t>
      </w:r>
      <w:r>
        <w:t xml:space="preserve"> </w:t>
      </w:r>
      <w:hyperlink r:id="rId189">
        <w:r>
          <w:rPr>
            <w:rStyle w:val="Hyperlink"/>
          </w:rPr>
          <w:t xml:space="preserve">https://doi.org/10.1144/SP466.5</w:t>
        </w:r>
      </w:hyperlink>
      <w:r>
        <w:t xml:space="preserve">.</w:t>
      </w:r>
    </w:p>
    <w:bookmarkEnd w:id="190"/>
    <w:bookmarkStart w:id="192" w:name="ref-jones2022"/>
    <w:p>
      <w:pPr>
        <w:pStyle w:val="Bibliography"/>
      </w:pPr>
      <w:r>
        <w:t xml:space="preserve">Jones, Lindsey, and Jani C. Ingram. 2022.</w:t>
      </w:r>
      <w:r>
        <w:t xml:space="preserve"> </w:t>
      </w:r>
      <w:r>
        <w:t xml:space="preserve">“Invited Perspective: Tribal Water Issues Exemplified by the Navajo Nation.”</w:t>
      </w:r>
      <w:r>
        <w:t xml:space="preserve"> </w:t>
      </w:r>
      <w:r>
        <w:rPr>
          <w:i/>
          <w:iCs/>
        </w:rPr>
        <w:t xml:space="preserve">Environmental Health Perspectives</w:t>
      </w:r>
      <w:r>
        <w:t xml:space="preserve"> </w:t>
      </w:r>
      <w:r>
        <w:t xml:space="preserve">130 (12): 121301.</w:t>
      </w:r>
      <w:r>
        <w:t xml:space="preserve"> </w:t>
      </w:r>
      <w:hyperlink r:id="rId191">
        <w:r>
          <w:rPr>
            <w:rStyle w:val="Hyperlink"/>
          </w:rPr>
          <w:t xml:space="preserve">https://doi.org/10.1289/EHP12187</w:t>
        </w:r>
      </w:hyperlink>
      <w:r>
        <w:t xml:space="preserve">.</w:t>
      </w:r>
    </w:p>
    <w:bookmarkEnd w:id="192"/>
    <w:bookmarkStart w:id="194" w:name="ref-kerhoulas2013"/>
    <w:p>
      <w:pPr>
        <w:pStyle w:val="Bibliography"/>
      </w:pPr>
      <w:r>
        <w:t xml:space="preserve">Kerhoulas, Lucy P., Thomas E. Kolb, and George W. Koch. 2013.</w:t>
      </w:r>
      <w:r>
        <w:t xml:space="preserve"> </w:t>
      </w:r>
      <w:r>
        <w:t xml:space="preserve">“Tree Size, Stand Density, and the Source of Water Used Across Seasons by Ponderosa Pine in Northern Arizona.”</w:t>
      </w:r>
      <w:r>
        <w:t xml:space="preserve"> </w:t>
      </w:r>
      <w:r>
        <w:rPr>
          <w:i/>
          <w:iCs/>
        </w:rPr>
        <w:t xml:space="preserve">Forest Ecology and Management</w:t>
      </w:r>
      <w:r>
        <w:t xml:space="preserve"> </w:t>
      </w:r>
      <w:r>
        <w:t xml:space="preserve">289 (February): 425–33.</w:t>
      </w:r>
      <w:r>
        <w:t xml:space="preserve"> </w:t>
      </w:r>
      <w:hyperlink r:id="rId193">
        <w:r>
          <w:rPr>
            <w:rStyle w:val="Hyperlink"/>
          </w:rPr>
          <w:t xml:space="preserve">https://doi.org/10.1016/j.foreco.2012.10.036</w:t>
        </w:r>
      </w:hyperlink>
      <w:r>
        <w:t xml:space="preserve">.</w:t>
      </w:r>
    </w:p>
    <w:bookmarkEnd w:id="194"/>
    <w:bookmarkStart w:id="196" w:name="ref-kerhoulas2023"/>
    <w:p>
      <w:pPr>
        <w:pStyle w:val="Bibliography"/>
      </w:pPr>
      <w:r>
        <w:t xml:space="preserve">Kerhoulas, Lucy P., Nicolas Umstattd, and George W. Koch. 2023.</w:t>
      </w:r>
      <w:r>
        <w:t xml:space="preserve"> </w:t>
      </w:r>
      <w:r>
        <w:t xml:space="preserve">“Seasonal Water Source Patterns in a Northern Arizona Pine Forest.”</w:t>
      </w:r>
      <w:r>
        <w:t xml:space="preserve"> </w:t>
      </w:r>
      <w:r>
        <w:rPr>
          <w:i/>
          <w:iCs/>
        </w:rPr>
        <w:t xml:space="preserve">Frontiers in Forests and Global Change</w:t>
      </w:r>
      <w:r>
        <w:t xml:space="preserve"> </w:t>
      </w:r>
      <w:r>
        <w:t xml:space="preserve">6 (April): 1150413.</w:t>
      </w:r>
      <w:r>
        <w:t xml:space="preserve"> </w:t>
      </w:r>
      <w:hyperlink r:id="rId195">
        <w:r>
          <w:rPr>
            <w:rStyle w:val="Hyperlink"/>
          </w:rPr>
          <w:t xml:space="preserve">https://doi.org/10.3389/ffgc.2023.1150413</w:t>
        </w:r>
      </w:hyperlink>
      <w:r>
        <w:t xml:space="preserve">.</w:t>
      </w:r>
    </w:p>
    <w:bookmarkEnd w:id="196"/>
    <w:bookmarkStart w:id="198" w:name="ref-knowles2023"/>
    <w:p>
      <w:pPr>
        <w:pStyle w:val="Bibliography"/>
      </w:pPr>
      <w:r>
        <w:t xml:space="preserve">Knowles, John F., Nels R. Bjarke, Andrew M. Badger, Max Berkelhammer, Joel A. Biederman, Peter D. Blanken, Mario Bretfeld, et al. 2023.</w:t>
      </w:r>
      <w:r>
        <w:t xml:space="preserve"> </w:t>
      </w:r>
      <w:r>
        <w:t xml:space="preserve">“Bark Beetle Impacts on Forest Evapotranspiration and Its Partitioning.”</w:t>
      </w:r>
      <w:r>
        <w:t xml:space="preserve"> </w:t>
      </w:r>
      <w:r>
        <w:rPr>
          <w:i/>
          <w:iCs/>
        </w:rPr>
        <w:t xml:space="preserve">Science of The Total Environment</w:t>
      </w:r>
      <w:r>
        <w:t xml:space="preserve"> </w:t>
      </w:r>
      <w:r>
        <w:t xml:space="preserve">880 (July): 163260.</w:t>
      </w:r>
      <w:r>
        <w:t xml:space="preserve"> </w:t>
      </w:r>
      <w:hyperlink r:id="rId197">
        <w:r>
          <w:rPr>
            <w:rStyle w:val="Hyperlink"/>
          </w:rPr>
          <w:t xml:space="preserve">https://doi.org/10.1016/j.scitotenv.2023.163260</w:t>
        </w:r>
      </w:hyperlink>
      <w:r>
        <w:t xml:space="preserve">.</w:t>
      </w:r>
    </w:p>
    <w:bookmarkEnd w:id="198"/>
    <w:bookmarkStart w:id="199" w:name="ref-kresic2013"/>
    <w:p>
      <w:pPr>
        <w:pStyle w:val="Bibliography"/>
      </w:pPr>
      <w:r>
        <w:t xml:space="preserve">Krešić, Neven. 2013.</w:t>
      </w:r>
      <w:r>
        <w:t xml:space="preserve"> </w:t>
      </w:r>
      <w:r>
        <w:rPr>
          <w:i/>
          <w:iCs/>
        </w:rPr>
        <w:t xml:space="preserve">Water in karst: management, vulnerability, and restoration</w:t>
      </w:r>
      <w:r>
        <w:t xml:space="preserve">. New York, NY: McGraw-Hill.</w:t>
      </w:r>
    </w:p>
    <w:bookmarkEnd w:id="199"/>
    <w:bookmarkStart w:id="201" w:name="ref-lexology_groundwater_directive_2014"/>
    <w:p>
      <w:pPr>
        <w:pStyle w:val="Bibliography"/>
      </w:pPr>
      <w:r>
        <w:t xml:space="preserve">Lexology. 2014.</w:t>
      </w:r>
      <w:r>
        <w:t xml:space="preserve"> </w:t>
      </w:r>
      <w:r>
        <w:t xml:space="preserve">“U.s. Forest Service Withdraws Proposed Groundwater Directive.”</w:t>
      </w:r>
      <w:r>
        <w:t xml:space="preserve"> </w:t>
      </w:r>
      <w:hyperlink r:id="rId200">
        <w:r>
          <w:rPr>
            <w:rStyle w:val="Hyperlink"/>
          </w:rPr>
          <w:t xml:space="preserve">https://www.lexology.com/library/detail.aspx?g=c206481f-b49c-408b-b714-3fd798532ce6</w:t>
        </w:r>
      </w:hyperlink>
      <w:r>
        <w:t xml:space="preserve">.</w:t>
      </w:r>
    </w:p>
    <w:bookmarkEnd w:id="201"/>
    <w:bookmarkStart w:id="203" w:name="ref-malczewski2006"/>
    <w:p>
      <w:pPr>
        <w:pStyle w:val="Bibliography"/>
      </w:pPr>
      <w:r>
        <w:t xml:space="preserve">Malczewski, Jacek. 2006.</w:t>
      </w:r>
      <w:r>
        <w:t xml:space="preserve"> </w:t>
      </w:r>
      <w:r>
        <w:t xml:space="preserve">“GIS</w:t>
      </w:r>
      <w:r>
        <w:t xml:space="preserve">-</w:t>
      </w:r>
      <w:r>
        <w:t xml:space="preserve">Based Multicriteria Decision Analysis: A Survey of the Literature.”</w:t>
      </w:r>
      <w:r>
        <w:t xml:space="preserve"> </w:t>
      </w:r>
      <w:r>
        <w:rPr>
          <w:i/>
          <w:iCs/>
        </w:rPr>
        <w:t xml:space="preserve">International Journal of Geographical Information Science</w:t>
      </w:r>
      <w:r>
        <w:t xml:space="preserve"> </w:t>
      </w:r>
      <w:r>
        <w:t xml:space="preserve">20 (7): 703–26.</w:t>
      </w:r>
      <w:r>
        <w:t xml:space="preserve"> </w:t>
      </w:r>
      <w:hyperlink r:id="rId202">
        <w:r>
          <w:rPr>
            <w:rStyle w:val="Hyperlink"/>
          </w:rPr>
          <w:t xml:space="preserve">https://doi.org/10.1080/13658810600661508</w:t>
        </w:r>
      </w:hyperlink>
      <w:r>
        <w:t xml:space="preserve">.</w:t>
      </w:r>
    </w:p>
    <w:bookmarkEnd w:id="203"/>
    <w:bookmarkStart w:id="205" w:name="ref-megdal2014"/>
    <w:p>
      <w:pPr>
        <w:pStyle w:val="Bibliography"/>
      </w:pPr>
      <w:r>
        <w:t xml:space="preserve">Megdal, Sharon B., Andrea K. Gerlak, Robert G. Varady, and Ling-Yee Huang. 2014.</w:t>
      </w:r>
      <w:r>
        <w:t xml:space="preserve"> </w:t>
      </w:r>
      <w:r>
        <w:t xml:space="preserve">“Groundwater Governance in the United States: Common Priorities and Challenges.”</w:t>
      </w:r>
      <w:r>
        <w:t xml:space="preserve"> </w:t>
      </w:r>
      <w:r>
        <w:rPr>
          <w:i/>
          <w:iCs/>
        </w:rPr>
        <w:t xml:space="preserve">Groundwater</w:t>
      </w:r>
      <w:r>
        <w:t xml:space="preserve"> </w:t>
      </w:r>
      <w:r>
        <w:t xml:space="preserve">53 (5): 677–84.</w:t>
      </w:r>
      <w:r>
        <w:t xml:space="preserve"> </w:t>
      </w:r>
      <w:hyperlink r:id="rId204">
        <w:r>
          <w:rPr>
            <w:rStyle w:val="Hyperlink"/>
          </w:rPr>
          <w:t xml:space="preserve">https://doi.org/10.1111/gwat.12294</w:t>
        </w:r>
      </w:hyperlink>
      <w:r>
        <w:t xml:space="preserve">.</w:t>
      </w:r>
    </w:p>
    <w:bookmarkEnd w:id="205"/>
    <w:bookmarkStart w:id="206" w:name="ref-meijerink2007"/>
    <w:p>
      <w:pPr>
        <w:pStyle w:val="Bibliography"/>
      </w:pPr>
      <w:r>
        <w:t xml:space="preserve">Meijerink, AMJ, D Bannert, and O Batelaan. 2007.</w:t>
      </w:r>
      <w:r>
        <w:t xml:space="preserve"> </w:t>
      </w:r>
      <w:r>
        <w:rPr>
          <w:i/>
          <w:iCs/>
        </w:rPr>
        <w:t xml:space="preserve">Remote Sensing Applications to Groundwater</w:t>
      </w:r>
      <w:r>
        <w:t xml:space="preserve">. Paris, France: UNESCO.</w:t>
      </w:r>
    </w:p>
    <w:bookmarkEnd w:id="206"/>
    <w:bookmarkStart w:id="208" w:name="ref-meko_treering_2022"/>
    <w:p>
      <w:pPr>
        <w:pStyle w:val="Bibliography"/>
      </w:pPr>
      <w:r>
        <w:t xml:space="preserve">Meko, David M., Connie A. Woodhouse, and Anabel G. Winitsky. 2022.</w:t>
      </w:r>
      <w:r>
        <w:t xml:space="preserve"> </w:t>
      </w:r>
      <w:r>
        <w:t xml:space="preserve">“Tree‐</w:t>
      </w:r>
      <w:r>
        <w:t xml:space="preserve">Ring</w:t>
      </w:r>
      <w:r>
        <w:t xml:space="preserve"> </w:t>
      </w:r>
      <w:r>
        <w:t xml:space="preserve">Perspectives</w:t>
      </w:r>
      <w:r>
        <w:t xml:space="preserve"> </w:t>
      </w:r>
      <w:r>
        <w:t xml:space="preserve">on the</w:t>
      </w:r>
      <w:r>
        <w:t xml:space="preserve"> </w:t>
      </w:r>
      <w:r>
        <w:t xml:space="preserve">Colorado</w:t>
      </w:r>
      <w:r>
        <w:t xml:space="preserve"> </w:t>
      </w:r>
      <w:r>
        <w:t xml:space="preserve">River</w:t>
      </w:r>
      <w:r>
        <w:t xml:space="preserve">:</w:t>
      </w:r>
      <w:r>
        <w:t xml:space="preserve"> </w:t>
      </w:r>
      <w:r>
        <w:t xml:space="preserve">Looking</w:t>
      </w:r>
      <w:r>
        <w:t xml:space="preserve"> </w:t>
      </w:r>
      <w:r>
        <w:t xml:space="preserve">Back</w:t>
      </w:r>
      <w:r>
        <w:t xml:space="preserve"> </w:t>
      </w:r>
      <w:r>
        <w:t xml:space="preserve">and</w:t>
      </w:r>
      <w:r>
        <w:t xml:space="preserve"> </w:t>
      </w:r>
      <w:r>
        <w:t xml:space="preserve">Moving</w:t>
      </w:r>
      <w:r>
        <w:t xml:space="preserve"> </w:t>
      </w:r>
      <w:r>
        <w:t xml:space="preserve">Forward</w:t>
      </w:r>
      <w:r>
        <w:t xml:space="preserve">.”</w:t>
      </w:r>
      <w:r>
        <w:t xml:space="preserve"> </w:t>
      </w:r>
      <w:r>
        <w:rPr>
          <w:i/>
          <w:iCs/>
        </w:rPr>
        <w:t xml:space="preserve">JAWRA Journal of the American Water Resources Association</w:t>
      </w:r>
      <w:r>
        <w:t xml:space="preserve"> </w:t>
      </w:r>
      <w:r>
        <w:t xml:space="preserve">58 (5): 604–21.</w:t>
      </w:r>
      <w:r>
        <w:t xml:space="preserve"> </w:t>
      </w:r>
      <w:hyperlink r:id="rId207">
        <w:r>
          <w:rPr>
            <w:rStyle w:val="Hyperlink"/>
          </w:rPr>
          <w:t xml:space="preserve">https://doi.org/10.1111/1752-1688.12989</w:t>
        </w:r>
      </w:hyperlink>
      <w:r>
        <w:t xml:space="preserve">.</w:t>
      </w:r>
    </w:p>
    <w:bookmarkEnd w:id="208"/>
    <w:bookmarkStart w:id="210" w:name="ref-mendoza2006"/>
    <w:p>
      <w:pPr>
        <w:pStyle w:val="Bibliography"/>
      </w:pPr>
      <w:r>
        <w:t xml:space="preserve">Mendoza, G. A., and H. Martins. 2006.</w:t>
      </w:r>
      <w:r>
        <w:t xml:space="preserve"> </w:t>
      </w:r>
      <w:r>
        <w:t xml:space="preserve">“Multi-Criteria Decision Analysis in Natural Resource Management: A Critical Review of Methods and New Modelling Paradigms.”</w:t>
      </w:r>
      <w:r>
        <w:t xml:space="preserve"> </w:t>
      </w:r>
      <w:r>
        <w:rPr>
          <w:i/>
          <w:iCs/>
        </w:rPr>
        <w:t xml:space="preserve">Forest Ecology and Management</w:t>
      </w:r>
      <w:r>
        <w:t xml:space="preserve"> </w:t>
      </w:r>
      <w:r>
        <w:t xml:space="preserve">230 (1-3): 1–22.</w:t>
      </w:r>
      <w:r>
        <w:t xml:space="preserve"> </w:t>
      </w:r>
      <w:hyperlink r:id="rId209">
        <w:r>
          <w:rPr>
            <w:rStyle w:val="Hyperlink"/>
          </w:rPr>
          <w:t xml:space="preserve">https://doi.org/10.1016/j.foreco.2006.03.023</w:t>
        </w:r>
      </w:hyperlink>
      <w:r>
        <w:t xml:space="preserve">.</w:t>
      </w:r>
    </w:p>
    <w:bookmarkEnd w:id="210"/>
    <w:bookmarkStart w:id="212" w:name="ref-moore2005"/>
    <w:p>
      <w:pPr>
        <w:pStyle w:val="Bibliography"/>
      </w:pPr>
      <w:r>
        <w:t xml:space="preserve">Moore, R., and S. M. Wondzell. 2005.</w:t>
      </w:r>
      <w:r>
        <w:t xml:space="preserve"> </w:t>
      </w:r>
      <w:r>
        <w:t xml:space="preserve">“Physical Hydrology and the Effects of Forest Harvesting in the Pacific Northwest: A Review.”</w:t>
      </w:r>
      <w:r>
        <w:t xml:space="preserve"> </w:t>
      </w:r>
      <w:r>
        <w:rPr>
          <w:i/>
          <w:iCs/>
        </w:rPr>
        <w:t xml:space="preserve">Journal of the American Water Resources Association</w:t>
      </w:r>
      <w:r>
        <w:t xml:space="preserve"> </w:t>
      </w:r>
      <w:r>
        <w:t xml:space="preserve">41 (4): 763–84.</w:t>
      </w:r>
      <w:r>
        <w:t xml:space="preserve"> </w:t>
      </w:r>
      <w:hyperlink r:id="rId211">
        <w:r>
          <w:rPr>
            <w:rStyle w:val="Hyperlink"/>
          </w:rPr>
          <w:t xml:space="preserve">https://doi.org/10.1111/j.1752-1688.2005.tb04463.x</w:t>
        </w:r>
      </w:hyperlink>
      <w:r>
        <w:t xml:space="preserve">.</w:t>
      </w:r>
    </w:p>
    <w:bookmarkEnd w:id="212"/>
    <w:bookmarkStart w:id="214" w:name="ref-moreno_modeling_2015"/>
    <w:p>
      <w:pPr>
        <w:pStyle w:val="Bibliography"/>
      </w:pPr>
      <w:r>
        <w:t xml:space="preserve">Moreno, H. A., H. V. Gupta, D. D. White, and D. A. Sampson. 2015.</w:t>
      </w:r>
      <w:r>
        <w:t xml:space="preserve"> </w:t>
      </w:r>
      <w:r>
        <w:t xml:space="preserve">“Modeling the Distributed Effects of Forest Thinning on the Long-Term Water Balance and Stream Flow Extremes for a Semi-Arid Basin in the Southwestern</w:t>
      </w:r>
      <w:r>
        <w:t xml:space="preserve"> </w:t>
      </w:r>
      <w:r>
        <w:t xml:space="preserve">US</w:t>
      </w:r>
      <w:r>
        <w:t xml:space="preserve">.”</w:t>
      </w:r>
      <w:r>
        <w:t xml:space="preserve"> </w:t>
      </w:r>
      <w:hyperlink r:id="rId213">
        <w:r>
          <w:rPr>
            <w:rStyle w:val="Hyperlink"/>
          </w:rPr>
          <w:t xml:space="preserve">https://doi.org/10.5194/hessd-12-10827-2015</w:t>
        </w:r>
      </w:hyperlink>
      <w:r>
        <w:t xml:space="preserve">.</w:t>
      </w:r>
    </w:p>
    <w:bookmarkEnd w:id="214"/>
    <w:bookmarkStart w:id="216" w:name="ref-mueller2019"/>
    <w:p>
      <w:pPr>
        <w:pStyle w:val="Bibliography"/>
      </w:pPr>
      <w:r>
        <w:t xml:space="preserve">Mueller, Julie M., Adrienne B. Soder, and Abraham E. Springer. 2019.</w:t>
      </w:r>
      <w:r>
        <w:t xml:space="preserve"> </w:t>
      </w:r>
      <w:r>
        <w:t xml:space="preserve">“Valuing Attributes of Forest Restoration in a Semi-Arid Watershed.”</w:t>
      </w:r>
      <w:r>
        <w:t xml:space="preserve"> </w:t>
      </w:r>
      <w:r>
        <w:rPr>
          <w:i/>
          <w:iCs/>
        </w:rPr>
        <w:t xml:space="preserve">Landscape and Urban Planning</w:t>
      </w:r>
      <w:r>
        <w:t xml:space="preserve"> </w:t>
      </w:r>
      <w:r>
        <w:t xml:space="preserve">184 (April): 78–87.</w:t>
      </w:r>
      <w:r>
        <w:t xml:space="preserve"> </w:t>
      </w:r>
      <w:hyperlink r:id="rId215">
        <w:r>
          <w:rPr>
            <w:rStyle w:val="Hyperlink"/>
          </w:rPr>
          <w:t xml:space="preserve">https://doi.org/10.1016/j.landurbplan.2018.12.012</w:t>
        </w:r>
      </w:hyperlink>
      <w:r>
        <w:t xml:space="preserve">.</w:t>
      </w:r>
    </w:p>
    <w:bookmarkEnd w:id="216"/>
    <w:bookmarkStart w:id="218" w:name="ref-nyborg2007"/>
    <w:p>
      <w:pPr>
        <w:pStyle w:val="Bibliography"/>
      </w:pPr>
      <w:r>
        <w:t xml:space="preserve">Nyborg, Mats, Johan Berglund, and Carl-Axel Triumf. 2007.</w:t>
      </w:r>
      <w:r>
        <w:t xml:space="preserve"> </w:t>
      </w:r>
      <w:r>
        <w:t xml:space="preserve">“Detection of Lineaments Using Airborne Laser Scanning Technology: Laxemar-Simpevarp, Sweden.”</w:t>
      </w:r>
      <w:r>
        <w:t xml:space="preserve"> </w:t>
      </w:r>
      <w:r>
        <w:rPr>
          <w:i/>
          <w:iCs/>
        </w:rPr>
        <w:t xml:space="preserve">Hydrogeology Journal</w:t>
      </w:r>
      <w:r>
        <w:t xml:space="preserve"> </w:t>
      </w:r>
      <w:r>
        <w:t xml:space="preserve">15 (1): 29–32.</w:t>
      </w:r>
      <w:r>
        <w:t xml:space="preserve"> </w:t>
      </w:r>
      <w:hyperlink r:id="rId217">
        <w:r>
          <w:rPr>
            <w:rStyle w:val="Hyperlink"/>
          </w:rPr>
          <w:t xml:space="preserve">https://doi.org/10.1007/s10040-006-0134-0</w:t>
        </w:r>
      </w:hyperlink>
      <w:r>
        <w:t xml:space="preserve">.</w:t>
      </w:r>
    </w:p>
    <w:bookmarkEnd w:id="218"/>
    <w:bookmarkStart w:id="220" w:name="ref-odonnell2016"/>
    <w:p>
      <w:pPr>
        <w:pStyle w:val="Bibliography"/>
      </w:pPr>
      <w:r>
        <w:t xml:space="preserve">O’Donnell, Frances C. 2016.</w:t>
      </w:r>
      <w:r>
        <w:t xml:space="preserve"> </w:t>
      </w:r>
      <w:r>
        <w:t xml:space="preserve">“The Influence of Restoration Treatments on Hydrologic Output in Fire-Adapted Forests of the Southwest.”</w:t>
      </w:r>
      <w:r>
        <w:t xml:space="preserve"> </w:t>
      </w:r>
      <w:r>
        <w:t xml:space="preserve">Flagstaff, AZ.</w:t>
      </w:r>
      <w:r>
        <w:t xml:space="preserve"> </w:t>
      </w:r>
      <w:hyperlink r:id="rId219">
        <w:r>
          <w:rPr>
            <w:rStyle w:val="Hyperlink"/>
          </w:rPr>
          <w:t xml:space="preserve">https://cdm17192.contentdm.oclc.org/digital/collection/p17192coll1/id/662/rec/1</w:t>
        </w:r>
      </w:hyperlink>
      <w:r>
        <w:t xml:space="preserve">.</w:t>
      </w:r>
    </w:p>
    <w:bookmarkEnd w:id="220"/>
    <w:bookmarkStart w:id="222" w:name="ref-odonnell_vegetation_2021"/>
    <w:p>
      <w:pPr>
        <w:pStyle w:val="Bibliography"/>
      </w:pPr>
      <w:r>
        <w:t xml:space="preserve">O’Donnell, Frances C., Jonathon Donager, Temuulen Sankey, Sharon Masek Lopez, and Abraham E. Springer. 2021.</w:t>
      </w:r>
      <w:r>
        <w:t xml:space="preserve"> </w:t>
      </w:r>
      <w:r>
        <w:t xml:space="preserve">“Vegetation Structure Controls on Snow and Soil Moisture in Restored Ponderosa Pine Forests.”</w:t>
      </w:r>
      <w:r>
        <w:t xml:space="preserve"> </w:t>
      </w:r>
      <w:r>
        <w:rPr>
          <w:i/>
          <w:iCs/>
        </w:rPr>
        <w:t xml:space="preserve">Hydrological Processes</w:t>
      </w:r>
      <w:r>
        <w:t xml:space="preserve"> </w:t>
      </w:r>
      <w:r>
        <w:t xml:space="preserve">35 (11): e14432.</w:t>
      </w:r>
      <w:r>
        <w:t xml:space="preserve"> </w:t>
      </w:r>
      <w:hyperlink r:id="rId221">
        <w:r>
          <w:rPr>
            <w:rStyle w:val="Hyperlink"/>
          </w:rPr>
          <w:t xml:space="preserve">https://doi.org/10.1002/hyp.14432</w:t>
        </w:r>
      </w:hyperlink>
      <w:r>
        <w:t xml:space="preserve">.</w:t>
      </w:r>
    </w:p>
    <w:bookmarkEnd w:id="222"/>
    <w:bookmarkStart w:id="224" w:name="ref-odonnell_forest_2018"/>
    <w:p>
      <w:pPr>
        <w:pStyle w:val="Bibliography"/>
      </w:pPr>
      <w:r>
        <w:t xml:space="preserve">O’Donnell, Frances C., William T. Flatley, Abraham E. Springer, and Peter Z. Fulé. 2018.</w:t>
      </w:r>
      <w:r>
        <w:t xml:space="preserve"> </w:t>
      </w:r>
      <w:r>
        <w:t xml:space="preserve">“Forest Restoration as a Strategy to Mitigate Climate Impacts on Wildfire, Vegetation, and Water in Semiarid Forests.”</w:t>
      </w:r>
      <w:r>
        <w:t xml:space="preserve"> </w:t>
      </w:r>
      <w:r>
        <w:rPr>
          <w:i/>
          <w:iCs/>
        </w:rPr>
        <w:t xml:space="preserve">Ecological Applications</w:t>
      </w:r>
      <w:r>
        <w:t xml:space="preserve"> </w:t>
      </w:r>
      <w:r>
        <w:t xml:space="preserve">28 (6): 1459–72.</w:t>
      </w:r>
      <w:r>
        <w:t xml:space="preserve"> </w:t>
      </w:r>
      <w:hyperlink r:id="rId223">
        <w:r>
          <w:rPr>
            <w:rStyle w:val="Hyperlink"/>
          </w:rPr>
          <w:t xml:space="preserve">https://doi.org/10.1002/eap.1746</w:t>
        </w:r>
      </w:hyperlink>
      <w:r>
        <w:t xml:space="preserve">.</w:t>
      </w:r>
    </w:p>
    <w:bookmarkEnd w:id="224"/>
    <w:bookmarkStart w:id="225" w:name="ref-oleary1976"/>
    <w:p>
      <w:pPr>
        <w:pStyle w:val="Bibliography"/>
      </w:pPr>
      <w:r>
        <w:t xml:space="preserve">O’leary, D. W., J. D. Friedman, and H. A. Pohn. 1976.</w:t>
      </w:r>
      <w:r>
        <w:t xml:space="preserve"> </w:t>
      </w:r>
      <w:r>
        <w:t xml:space="preserve">“Lineament, Linear, Lineation: Some Proposed New Standards for Old Terms.”</w:t>
      </w:r>
      <w:r>
        <w:t xml:space="preserve"> </w:t>
      </w:r>
      <w:r>
        <w:rPr>
          <w:i/>
          <w:iCs/>
        </w:rPr>
        <w:t xml:space="preserve">Geological Society of America Bulletin</w:t>
      </w:r>
      <w:r>
        <w:t xml:space="preserve"> </w:t>
      </w:r>
      <w:r>
        <w:t xml:space="preserve">87 (10).</w:t>
      </w:r>
    </w:p>
    <w:bookmarkEnd w:id="225"/>
    <w:bookmarkStart w:id="227" w:name="ref-parker1982"/>
    <w:p>
      <w:pPr>
        <w:pStyle w:val="Bibliography"/>
      </w:pPr>
      <w:r>
        <w:t xml:space="preserve">Parker, Albert J. 1982.</w:t>
      </w:r>
      <w:r>
        <w:t xml:space="preserve"> </w:t>
      </w:r>
      <w:r>
        <w:t xml:space="preserve">“THE TOPOGRAPHIC RELATIVE MOISTURE INDEX: AN APPROACH TO SOIL-MOISTURE ASSESSMENT IN MOUNTAIN TERRAIN.”</w:t>
      </w:r>
      <w:r>
        <w:t xml:space="preserve"> </w:t>
      </w:r>
      <w:r>
        <w:rPr>
          <w:i/>
          <w:iCs/>
        </w:rPr>
        <w:t xml:space="preserve">Physical Geography</w:t>
      </w:r>
      <w:r>
        <w:t xml:space="preserve"> </w:t>
      </w:r>
      <w:r>
        <w:t xml:space="preserve">3 (2): 160–68.</w:t>
      </w:r>
      <w:r>
        <w:t xml:space="preserve"> </w:t>
      </w:r>
      <w:hyperlink r:id="rId226">
        <w:r>
          <w:rPr>
            <w:rStyle w:val="Hyperlink"/>
          </w:rPr>
          <w:t xml:space="preserve">https://doi.org/10.1080/02723646.1982.10642224</w:t>
        </w:r>
      </w:hyperlink>
      <w:r>
        <w:t xml:space="preserve">.</w:t>
      </w:r>
    </w:p>
    <w:bookmarkEnd w:id="227"/>
    <w:bookmarkStart w:id="229" w:name="ref-parker2005"/>
    <w:p>
      <w:pPr>
        <w:pStyle w:val="Bibliography"/>
      </w:pPr>
      <w:r>
        <w:t xml:space="preserve">Parker, John T. C., William C. Steinkampf, and Marilyn E. Flynn. 2005.</w:t>
      </w:r>
      <w:r>
        <w:t xml:space="preserve"> </w:t>
      </w:r>
      <w:r>
        <w:t xml:space="preserve">“Hydrogeology of the Mogollon Highlands, Central Arizona.”</w:t>
      </w:r>
      <w:r>
        <w:t xml:space="preserve"> </w:t>
      </w:r>
      <w:r>
        <w:t xml:space="preserve">Reston, VA.</w:t>
      </w:r>
      <w:r>
        <w:t xml:space="preserve"> </w:t>
      </w:r>
      <w:hyperlink r:id="rId228">
        <w:r>
          <w:rPr>
            <w:rStyle w:val="Hyperlink"/>
          </w:rPr>
          <w:t xml:space="preserve">https://pubs.usgs.gov/sir/2004/5294/pdf/Parker%20SIR%202004-5294%20WEB.pdf</w:t>
        </w:r>
      </w:hyperlink>
      <w:r>
        <w:t xml:space="preserve">.</w:t>
      </w:r>
    </w:p>
    <w:bookmarkEnd w:id="229"/>
    <w:bookmarkStart w:id="231" w:name="X4f8d26950783ed9819dc2cca2e1f438d897a41a"/>
    <w:p>
      <w:pPr>
        <w:pStyle w:val="Bibliography"/>
      </w:pPr>
      <w:r>
        <w:t xml:space="preserve">President’s Council of Advisors on Science and Technology, Frances Arnold, Arati Prabhakar, Maria Zuber, Dan Arvizu, Dennis Assanis, John Banovetz, et al. 2024.</w:t>
      </w:r>
      <w:r>
        <w:t xml:space="preserve"> </w:t>
      </w:r>
      <w:r>
        <w:t xml:space="preserve">“PCAST: Report to the President on Improving Groundwater Security in the United States.”</w:t>
      </w:r>
      <w:r>
        <w:t xml:space="preserve"> </w:t>
      </w:r>
      <w:r>
        <w:t xml:space="preserve">Executive Office of the President.</w:t>
      </w:r>
      <w:r>
        <w:t xml:space="preserve"> </w:t>
      </w:r>
      <w:hyperlink r:id="rId230">
        <w:r>
          <w:rPr>
            <w:rStyle w:val="Hyperlink"/>
          </w:rPr>
          <w:t xml:space="preserve">https://doi.org/10.2172/2481670</w:t>
        </w:r>
      </w:hyperlink>
      <w:r>
        <w:t xml:space="preserve">.</w:t>
      </w:r>
    </w:p>
    <w:bookmarkEnd w:id="231"/>
    <w:bookmarkStart w:id="233" w:name="ref-rahman2012"/>
    <w:p>
      <w:pPr>
        <w:pStyle w:val="Bibliography"/>
      </w:pPr>
      <w:r>
        <w:t xml:space="preserve">Rahman, M. Azizur, Bernd Rusteberg, R. C. Gogu, J. P. Lobo Ferreira, and Martin Sauter. 2012.</w:t>
      </w:r>
      <w:r>
        <w:t xml:space="preserve"> </w:t>
      </w:r>
      <w:r>
        <w:t xml:space="preserve">“A New Spatial Multi-Criteria Decision Support Tool for Site Selection for Implementation of Managed Aquifer Recharge.”</w:t>
      </w:r>
      <w:r>
        <w:t xml:space="preserve"> </w:t>
      </w:r>
      <w:r>
        <w:rPr>
          <w:i/>
          <w:iCs/>
        </w:rPr>
        <w:t xml:space="preserve">Journal of Environmental Management</w:t>
      </w:r>
      <w:r>
        <w:t xml:space="preserve"> </w:t>
      </w:r>
      <w:r>
        <w:t xml:space="preserve">99 (May): 61–75.</w:t>
      </w:r>
      <w:r>
        <w:t xml:space="preserve"> </w:t>
      </w:r>
      <w:hyperlink r:id="rId232">
        <w:r>
          <w:rPr>
            <w:rStyle w:val="Hyperlink"/>
          </w:rPr>
          <w:t xml:space="preserve">https://doi.org/10.1016/j.jenvman.2012.01.003</w:t>
        </w:r>
      </w:hyperlink>
      <w:r>
        <w:t xml:space="preserve">.</w:t>
      </w:r>
    </w:p>
    <w:bookmarkEnd w:id="233"/>
    <w:bookmarkStart w:id="235" w:name="ref-rajashekar2023"/>
    <w:p>
      <w:pPr>
        <w:pStyle w:val="Bibliography"/>
      </w:pPr>
      <w:r>
        <w:t xml:space="preserve">Raja Shekar, Padala, and Aneesh Mathew. 2023.</w:t>
      </w:r>
      <w:r>
        <w:t xml:space="preserve"> </w:t>
      </w:r>
      <w:r>
        <w:t xml:space="preserve">“Assessing Groundwater Potential Zones and Artificial Recharge Sites in the Monsoon-Fed Murredu River Basin, India: An Integrated Approach Using GIS, AHP, and Fuzzy-AHP.”</w:t>
      </w:r>
      <w:r>
        <w:t xml:space="preserve"> </w:t>
      </w:r>
      <w:r>
        <w:rPr>
          <w:i/>
          <w:iCs/>
        </w:rPr>
        <w:t xml:space="preserve">Groundwater for Sustainable Development</w:t>
      </w:r>
      <w:r>
        <w:t xml:space="preserve"> </w:t>
      </w:r>
      <w:r>
        <w:t xml:space="preserve">23 (November): 100994.</w:t>
      </w:r>
      <w:r>
        <w:t xml:space="preserve"> </w:t>
      </w:r>
      <w:hyperlink r:id="rId234">
        <w:r>
          <w:rPr>
            <w:rStyle w:val="Hyperlink"/>
          </w:rPr>
          <w:t xml:space="preserve">https://doi.org/10.1016/j.gsd.2023.100994</w:t>
        </w:r>
      </w:hyperlink>
      <w:r>
        <w:t xml:space="preserve">.</w:t>
      </w:r>
    </w:p>
    <w:bookmarkEnd w:id="235"/>
    <w:bookmarkStart w:id="237" w:name="ref-riley2022"/>
    <w:p>
      <w:pPr>
        <w:pStyle w:val="Bibliography"/>
      </w:pPr>
      <w:r>
        <w:t xml:space="preserve">Riley, Karin L, Isaac C Grenfell, John D Shaw, and Mark A Finney. 2022.</w:t>
      </w:r>
      <w:r>
        <w:t xml:space="preserve"> </w:t>
      </w:r>
      <w:r>
        <w:t xml:space="preserve">“TreeMap 2016 Dataset Generates CONUS-Wide Maps of Forest Characteristics Including Live Basal Area, Aboveground Carbon, and Number of Trees Per Acre.”</w:t>
      </w:r>
      <w:r>
        <w:t xml:space="preserve"> </w:t>
      </w:r>
      <w:r>
        <w:rPr>
          <w:i/>
          <w:iCs/>
        </w:rPr>
        <w:t xml:space="preserve">Journal of Forestry</w:t>
      </w:r>
      <w:r>
        <w:t xml:space="preserve"> </w:t>
      </w:r>
      <w:r>
        <w:t xml:space="preserve">120 (6): 607–32.</w:t>
      </w:r>
      <w:r>
        <w:t xml:space="preserve"> </w:t>
      </w:r>
      <w:hyperlink r:id="rId236">
        <w:r>
          <w:rPr>
            <w:rStyle w:val="Hyperlink"/>
          </w:rPr>
          <w:t xml:space="preserve">https://doi.org/10.1093/jofore/fvac022</w:t>
        </w:r>
      </w:hyperlink>
      <w:r>
        <w:t xml:space="preserve">.</w:t>
      </w:r>
    </w:p>
    <w:bookmarkEnd w:id="237"/>
    <w:bookmarkStart w:id="239" w:name="ref-saksa2017"/>
    <w:p>
      <w:pPr>
        <w:pStyle w:val="Bibliography"/>
      </w:pPr>
      <w:r>
        <w:t xml:space="preserve">Saksa, P. C., M. H. Conklin, J. J. Battles, C. L. Tague, and R. C. Bales. 2017.</w:t>
      </w:r>
      <w:r>
        <w:t xml:space="preserve"> </w:t>
      </w:r>
      <w:r>
        <w:t xml:space="preserve">“Forest Thinning Impacts on the Water Balance of Sierra Nevada Mixed</w:t>
      </w:r>
      <w:r>
        <w:t xml:space="preserve">-</w:t>
      </w:r>
      <w:r>
        <w:t xml:space="preserve">Conifer Headwater Basins.”</w:t>
      </w:r>
      <w:r>
        <w:t xml:space="preserve"> </w:t>
      </w:r>
      <w:r>
        <w:rPr>
          <w:i/>
          <w:iCs/>
        </w:rPr>
        <w:t xml:space="preserve">Water Resources Research</w:t>
      </w:r>
      <w:r>
        <w:t xml:space="preserve"> </w:t>
      </w:r>
      <w:r>
        <w:t xml:space="preserve">53 (7): 5364–81.</w:t>
      </w:r>
      <w:r>
        <w:t xml:space="preserve"> </w:t>
      </w:r>
      <w:hyperlink r:id="rId238">
        <w:r>
          <w:rPr>
            <w:rStyle w:val="Hyperlink"/>
          </w:rPr>
          <w:t xml:space="preserve">https://doi.org/10.1002/2016wr019240</w:t>
        </w:r>
      </w:hyperlink>
      <w:r>
        <w:t xml:space="preserve">.</w:t>
      </w:r>
    </w:p>
    <w:bookmarkEnd w:id="239"/>
    <w:bookmarkStart w:id="241" w:name="ref-salui2018"/>
    <w:p>
      <w:pPr>
        <w:pStyle w:val="Bibliography"/>
      </w:pPr>
      <w:r>
        <w:t xml:space="preserve">Salui, Chalantika Laha. 2018.</w:t>
      </w:r>
      <w:r>
        <w:t xml:space="preserve"> </w:t>
      </w:r>
      <w:r>
        <w:t xml:space="preserve">“Methodological Validation for Automated Lineament Extraction by LINE Method in PCI Geomatica and MATLAB Based Hough Transformation.”</w:t>
      </w:r>
      <w:r>
        <w:t xml:space="preserve"> </w:t>
      </w:r>
      <w:r>
        <w:rPr>
          <w:i/>
          <w:iCs/>
        </w:rPr>
        <w:t xml:space="preserve">Journal of the Geological Society of India</w:t>
      </w:r>
      <w:r>
        <w:t xml:space="preserve"> </w:t>
      </w:r>
      <w:r>
        <w:t xml:space="preserve">92 (3): 321–28.</w:t>
      </w:r>
      <w:r>
        <w:t xml:space="preserve"> </w:t>
      </w:r>
      <w:hyperlink r:id="rId240">
        <w:r>
          <w:rPr>
            <w:rStyle w:val="Hyperlink"/>
          </w:rPr>
          <w:t xml:space="preserve">https://doi.org/10.1007/s12594-018-1015-6</w:t>
        </w:r>
      </w:hyperlink>
      <w:r>
        <w:t xml:space="preserve">.</w:t>
      </w:r>
    </w:p>
    <w:bookmarkEnd w:id="241"/>
    <w:bookmarkStart w:id="243" w:name="ref-sander2007"/>
    <w:p>
      <w:pPr>
        <w:pStyle w:val="Bibliography"/>
      </w:pPr>
      <w:r>
        <w:t xml:space="preserve">Sander, Per. 2007.</w:t>
      </w:r>
      <w:r>
        <w:t xml:space="preserve"> </w:t>
      </w:r>
      <w:r>
        <w:t xml:space="preserve">“Lineaments in Groundwater Exploration: A Review of Applications and Limitations.”</w:t>
      </w:r>
      <w:r>
        <w:t xml:space="preserve"> </w:t>
      </w:r>
      <w:r>
        <w:rPr>
          <w:i/>
          <w:iCs/>
        </w:rPr>
        <w:t xml:space="preserve">Hydrogeology Journal</w:t>
      </w:r>
      <w:r>
        <w:t xml:space="preserve"> </w:t>
      </w:r>
      <w:r>
        <w:t xml:space="preserve">15 (1): 71–74.</w:t>
      </w:r>
      <w:r>
        <w:t xml:space="preserve"> </w:t>
      </w:r>
      <w:hyperlink r:id="rId242">
        <w:r>
          <w:rPr>
            <w:rStyle w:val="Hyperlink"/>
          </w:rPr>
          <w:t xml:space="preserve">https://doi.org/10.1007/s10040-006-0138-9</w:t>
        </w:r>
      </w:hyperlink>
      <w:r>
        <w:t xml:space="preserve">.</w:t>
      </w:r>
    </w:p>
    <w:bookmarkEnd w:id="243"/>
    <w:bookmarkStart w:id="245" w:name="ref-sankey_regionalscale_2021"/>
    <w:p>
      <w:pPr>
        <w:pStyle w:val="Bibliography"/>
      </w:pPr>
      <w:r>
        <w:t xml:space="preserve">Sankey, Temuulen, Adam Belmonte, Richard Massey, and Jackson Leonard. 2021.</w:t>
      </w:r>
      <w:r>
        <w:t xml:space="preserve"> </w:t>
      </w:r>
      <w:r>
        <w:t xml:space="preserve">“Regional‐scale Forest Restoration Effects on Ecosystem Resiliency to Drought: A Synthesis of Vegetation and Moisture Trends on</w:t>
      </w:r>
      <w:r>
        <w:t xml:space="preserve"> </w:t>
      </w:r>
      <w:r>
        <w:t xml:space="preserve">Google</w:t>
      </w:r>
      <w:r>
        <w:t xml:space="preserve"> </w:t>
      </w:r>
      <w:r>
        <w:t xml:space="preserve">Earth</w:t>
      </w:r>
      <w:r>
        <w:t xml:space="preserve"> </w:t>
      </w:r>
      <w:r>
        <w:t xml:space="preserve">Engine</w:t>
      </w:r>
      <w:r>
        <w:t xml:space="preserve">.”</w:t>
      </w:r>
      <w:r>
        <w:t xml:space="preserve"> </w:t>
      </w:r>
      <w:r>
        <w:rPr>
          <w:i/>
          <w:iCs/>
        </w:rPr>
        <w:t xml:space="preserve">Remote Sensing in Ecology and Conservation</w:t>
      </w:r>
      <w:r>
        <w:t xml:space="preserve"> </w:t>
      </w:r>
      <w:r>
        <w:t xml:space="preserve">7 (2): 259–74.</w:t>
      </w:r>
      <w:r>
        <w:t xml:space="preserve"> </w:t>
      </w:r>
      <w:hyperlink r:id="rId244">
        <w:r>
          <w:rPr>
            <w:rStyle w:val="Hyperlink"/>
          </w:rPr>
          <w:t xml:space="preserve">https://doi.org/10.1002/rse2.186</w:t>
        </w:r>
      </w:hyperlink>
      <w:r>
        <w:t xml:space="preserve">.</w:t>
      </w:r>
    </w:p>
    <w:bookmarkEnd w:id="245"/>
    <w:bookmarkStart w:id="247" w:name="ref-sankey2015"/>
    <w:p>
      <w:pPr>
        <w:pStyle w:val="Bibliography"/>
      </w:pPr>
      <w:r>
        <w:t xml:space="preserve">Sankey, Temuulen, Jonathon Donald, Jason McVay, Mariah Ashley, Frances O’Donnell, Sharon Masek Lopez, and Abraham Springer. 2015.</w:t>
      </w:r>
      <w:r>
        <w:t xml:space="preserve"> </w:t>
      </w:r>
      <w:r>
        <w:t xml:space="preserve">“Multi-Scale Analysis of Snow Dynamics at the Southern Margin of the North American Continental Snow Distribution.”</w:t>
      </w:r>
      <w:r>
        <w:t xml:space="preserve"> </w:t>
      </w:r>
      <w:r>
        <w:rPr>
          <w:i/>
          <w:iCs/>
        </w:rPr>
        <w:t xml:space="preserve">Remote Sensing of Environment</w:t>
      </w:r>
      <w:r>
        <w:t xml:space="preserve"> </w:t>
      </w:r>
      <w:r>
        <w:t xml:space="preserve">169 (November): 307–19.</w:t>
      </w:r>
      <w:r>
        <w:t xml:space="preserve"> </w:t>
      </w:r>
      <w:hyperlink r:id="rId246">
        <w:r>
          <w:rPr>
            <w:rStyle w:val="Hyperlink"/>
          </w:rPr>
          <w:t xml:space="preserve">https://doi.org/10.1016/j.rse.2015.08.028</w:t>
        </w:r>
      </w:hyperlink>
      <w:r>
        <w:t xml:space="preserve">.</w:t>
      </w:r>
    </w:p>
    <w:bookmarkEnd w:id="247"/>
    <w:bookmarkStart w:id="249" w:name="ref-sankey_thinning_2022"/>
    <w:p>
      <w:pPr>
        <w:pStyle w:val="Bibliography"/>
      </w:pPr>
      <w:r>
        <w:t xml:space="preserve">Sankey, Temuulen, and Julia Tatum. 2022.</w:t>
      </w:r>
      <w:r>
        <w:t xml:space="preserve"> </w:t>
      </w:r>
      <w:r>
        <w:t xml:space="preserve">“Thinning Increases Forest Resiliency During Unprecedented Drought.”</w:t>
      </w:r>
      <w:r>
        <w:t xml:space="preserve"> </w:t>
      </w:r>
      <w:r>
        <w:rPr>
          <w:i/>
          <w:iCs/>
        </w:rPr>
        <w:t xml:space="preserve">Scientific Reports</w:t>
      </w:r>
      <w:r>
        <w:t xml:space="preserve"> </w:t>
      </w:r>
      <w:r>
        <w:t xml:space="preserve">12 (1): 9041.</w:t>
      </w:r>
      <w:r>
        <w:t xml:space="preserve"> </w:t>
      </w:r>
      <w:hyperlink r:id="rId248">
        <w:r>
          <w:rPr>
            <w:rStyle w:val="Hyperlink"/>
          </w:rPr>
          <w:t xml:space="preserve">https://doi.org/10.1038/s41598-022-12982-z</w:t>
        </w:r>
      </w:hyperlink>
      <w:r>
        <w:t xml:space="preserve">.</w:t>
      </w:r>
    </w:p>
    <w:bookmarkEnd w:id="249"/>
    <w:bookmarkStart w:id="251" w:name="ref-schultz_collaborative_2012"/>
    <w:p>
      <w:pPr>
        <w:pStyle w:val="Bibliography"/>
      </w:pPr>
      <w:r>
        <w:t xml:space="preserve">Schultz, Courtney A., Theresa Jedd, and Ryan D. Beam. 2012.</w:t>
      </w:r>
      <w:r>
        <w:t xml:space="preserve"> </w:t>
      </w:r>
      <w:r>
        <w:t xml:space="preserve">“The</w:t>
      </w:r>
      <w:r>
        <w:t xml:space="preserve"> </w:t>
      </w:r>
      <w:r>
        <w:t xml:space="preserve">Collaborative</w:t>
      </w:r>
      <w:r>
        <w:t xml:space="preserve"> </w:t>
      </w:r>
      <w:r>
        <w:t xml:space="preserve">Forest</w:t>
      </w:r>
      <w:r>
        <w:t xml:space="preserve"> </w:t>
      </w:r>
      <w:r>
        <w:t xml:space="preserve">Landscape</w:t>
      </w:r>
      <w:r>
        <w:t xml:space="preserve"> </w:t>
      </w:r>
      <w:r>
        <w:t xml:space="preserve">Restoration</w:t>
      </w:r>
      <w:r>
        <w:t xml:space="preserve"> </w:t>
      </w:r>
      <w:r>
        <w:t xml:space="preserve">Program</w:t>
      </w:r>
      <w:r>
        <w:t xml:space="preserve">:</w:t>
      </w:r>
      <w:r>
        <w:t xml:space="preserve"> </w:t>
      </w:r>
      <w:r>
        <w:t xml:space="preserve">A</w:t>
      </w:r>
      <w:r>
        <w:t xml:space="preserve"> </w:t>
      </w:r>
      <w:r>
        <w:t xml:space="preserve">History</w:t>
      </w:r>
      <w:r>
        <w:t xml:space="preserve"> </w:t>
      </w:r>
      <w:r>
        <w:t xml:space="preserve">and</w:t>
      </w:r>
      <w:r>
        <w:t xml:space="preserve"> </w:t>
      </w:r>
      <w:r>
        <w:t xml:space="preserve">Overview</w:t>
      </w:r>
      <w:r>
        <w:t xml:space="preserve"> </w:t>
      </w:r>
      <w:r>
        <w:t xml:space="preserve">of the</w:t>
      </w:r>
      <w:r>
        <w:t xml:space="preserve"> </w:t>
      </w:r>
      <w:r>
        <w:t xml:space="preserve">First</w:t>
      </w:r>
      <w:r>
        <w:t xml:space="preserve"> </w:t>
      </w:r>
      <w:r>
        <w:t xml:space="preserve">Projects</w:t>
      </w:r>
      <w:r>
        <w:t xml:space="preserve">.”</w:t>
      </w:r>
      <w:r>
        <w:t xml:space="preserve"> </w:t>
      </w:r>
      <w:r>
        <w:rPr>
          <w:i/>
          <w:iCs/>
        </w:rPr>
        <w:t xml:space="preserve">Journal of Forestry</w:t>
      </w:r>
      <w:r>
        <w:t xml:space="preserve"> </w:t>
      </w:r>
      <w:r>
        <w:t xml:space="preserve">110 (7): 381–91.</w:t>
      </w:r>
      <w:r>
        <w:t xml:space="preserve"> </w:t>
      </w:r>
      <w:hyperlink r:id="rId250">
        <w:r>
          <w:rPr>
            <w:rStyle w:val="Hyperlink"/>
          </w:rPr>
          <w:t xml:space="preserve">https://doi.org/10.5849/jof.11-082</w:t>
        </w:r>
      </w:hyperlink>
      <w:r>
        <w:t xml:space="preserve">.</w:t>
      </w:r>
    </w:p>
    <w:bookmarkEnd w:id="251"/>
    <w:bookmarkStart w:id="253" w:name="ref-shaban2006"/>
    <w:p>
      <w:pPr>
        <w:pStyle w:val="Bibliography"/>
      </w:pPr>
      <w:r>
        <w:t xml:space="preserve">Shaban, Amin, Mohamad Khawlie, and Chadi Abdallah. 2006.</w:t>
      </w:r>
      <w:r>
        <w:t xml:space="preserve"> </w:t>
      </w:r>
      <w:r>
        <w:t xml:space="preserve">“Use of Remote Sensing and GIS to Determine Recharge Potential Zones: The Case of Occidental Lebanon.”</w:t>
      </w:r>
      <w:r>
        <w:t xml:space="preserve"> </w:t>
      </w:r>
      <w:r>
        <w:rPr>
          <w:i/>
          <w:iCs/>
        </w:rPr>
        <w:t xml:space="preserve">Hydrogeology Journal</w:t>
      </w:r>
      <w:r>
        <w:t xml:space="preserve"> </w:t>
      </w:r>
      <w:r>
        <w:t xml:space="preserve">14 (4): 433–43.</w:t>
      </w:r>
      <w:r>
        <w:t xml:space="preserve"> </w:t>
      </w:r>
      <w:hyperlink r:id="rId252">
        <w:r>
          <w:rPr>
            <w:rStyle w:val="Hyperlink"/>
          </w:rPr>
          <w:t xml:space="preserve">https://doi.org/10.1007/s10040-005-0437-6</w:t>
        </w:r>
      </w:hyperlink>
      <w:r>
        <w:t xml:space="preserve">.</w:t>
      </w:r>
    </w:p>
    <w:bookmarkEnd w:id="253"/>
    <w:bookmarkStart w:id="255" w:name="ref-simonit_impact_2015"/>
    <w:p>
      <w:pPr>
        <w:pStyle w:val="Bibliography"/>
      </w:pPr>
      <w:r>
        <w:t xml:space="preserve">Simonit, Silvio, John P. Connors, James Yoo, Ann Kinzig, and Charles Perrings. 2015.</w:t>
      </w:r>
      <w:r>
        <w:t xml:space="preserve"> </w:t>
      </w:r>
      <w:r>
        <w:t xml:space="preserve">“The</w:t>
      </w:r>
      <w:r>
        <w:t xml:space="preserve"> </w:t>
      </w:r>
      <w:r>
        <w:t xml:space="preserve">Impact</w:t>
      </w:r>
      <w:r>
        <w:t xml:space="preserve"> </w:t>
      </w:r>
      <w:r>
        <w:t xml:space="preserve">of</w:t>
      </w:r>
      <w:r>
        <w:t xml:space="preserve"> </w:t>
      </w:r>
      <w:r>
        <w:t xml:space="preserve">Forest</w:t>
      </w:r>
      <w:r>
        <w:t xml:space="preserve"> </w:t>
      </w:r>
      <w:r>
        <w:t xml:space="preserve">Thinning</w:t>
      </w:r>
      <w:r>
        <w:t xml:space="preserve"> </w:t>
      </w:r>
      <w:r>
        <w:t xml:space="preserve">on the</w:t>
      </w:r>
      <w:r>
        <w:t xml:space="preserve"> </w:t>
      </w:r>
      <w:r>
        <w:t xml:space="preserve">Reliability</w:t>
      </w:r>
      <w:r>
        <w:t xml:space="preserve"> </w:t>
      </w:r>
      <w:r>
        <w:t xml:space="preserve">of</w:t>
      </w:r>
      <w:r>
        <w:t xml:space="preserve"> </w:t>
      </w:r>
      <w:r>
        <w:t xml:space="preserve">Water</w:t>
      </w:r>
      <w:r>
        <w:t xml:space="preserve"> </w:t>
      </w:r>
      <w:r>
        <w:t xml:space="preserve">Supply</w:t>
      </w:r>
      <w:r>
        <w:t xml:space="preserve"> </w:t>
      </w:r>
      <w:r>
        <w:t xml:space="preserve">in</w:t>
      </w:r>
      <w:r>
        <w:t xml:space="preserve"> </w:t>
      </w:r>
      <w:r>
        <w:t xml:space="preserve">Central</w:t>
      </w:r>
      <w:r>
        <w:t xml:space="preserve"> </w:t>
      </w:r>
      <w:r>
        <w:t xml:space="preserve">Arizona</w:t>
      </w:r>
      <w:r>
        <w:t xml:space="preserve">.”</w:t>
      </w:r>
      <w:r>
        <w:t xml:space="preserve"> </w:t>
      </w:r>
      <w:r>
        <w:rPr>
          <w:i/>
          <w:iCs/>
        </w:rPr>
        <w:t xml:space="preserve">PLOS ONE</w:t>
      </w:r>
      <w:r>
        <w:t xml:space="preserve"> </w:t>
      </w:r>
      <w:r>
        <w:t xml:space="preserve">10 (4): e0121596.</w:t>
      </w:r>
      <w:r>
        <w:t xml:space="preserve"> </w:t>
      </w:r>
      <w:hyperlink r:id="rId254">
        <w:r>
          <w:rPr>
            <w:rStyle w:val="Hyperlink"/>
          </w:rPr>
          <w:t xml:space="preserve">https://doi.org/10.1371/journal.pone.0121596</w:t>
        </w:r>
      </w:hyperlink>
      <w:r>
        <w:t xml:space="preserve">.</w:t>
      </w:r>
    </w:p>
    <w:bookmarkEnd w:id="255"/>
    <w:bookmarkStart w:id="257" w:name="ref-smerdon_overview_2009"/>
    <w:p>
      <w:pPr>
        <w:pStyle w:val="Bibliography"/>
      </w:pPr>
      <w:r>
        <w:t xml:space="preserve">Smerdon, Brian D., Todd Redding, and Jos Beckers. 2009.</w:t>
      </w:r>
      <w:r>
        <w:t xml:space="preserve"> </w:t>
      </w:r>
      <w:r>
        <w:t xml:space="preserve">“An Overview of the Effects of Forest Management on Groundwater Hydrology.”</w:t>
      </w:r>
      <w:r>
        <w:t xml:space="preserve"> </w:t>
      </w:r>
      <w:r>
        <w:rPr>
          <w:i/>
          <w:iCs/>
        </w:rPr>
        <w:t xml:space="preserve">Journal of Ecosystems and Management</w:t>
      </w:r>
      <w:r>
        <w:t xml:space="preserve">, March.</w:t>
      </w:r>
      <w:r>
        <w:t xml:space="preserve"> </w:t>
      </w:r>
      <w:hyperlink r:id="rId256">
        <w:r>
          <w:rPr>
            <w:rStyle w:val="Hyperlink"/>
          </w:rPr>
          <w:t xml:space="preserve">https://doi.org/10.22230/jem.2009v10n1a409</w:t>
        </w:r>
      </w:hyperlink>
      <w:r>
        <w:t xml:space="preserve">.</w:t>
      </w:r>
    </w:p>
    <w:bookmarkEnd w:id="257"/>
    <w:bookmarkStart w:id="259" w:name="ref-soder2022"/>
    <w:p>
      <w:pPr>
        <w:pStyle w:val="Bibliography"/>
      </w:pPr>
      <w:r>
        <w:t xml:space="preserve">Soder, Adrienne B., Julie M. Mueller, Abraham E. Springer, and Katelyn E. LaPine. 2022.</w:t>
      </w:r>
      <w:r>
        <w:t xml:space="preserve"> </w:t>
      </w:r>
      <w:r>
        <w:t xml:space="preserve">“Geospatial Analysis of Nonmarket Values to Prioritize Forest Restoration.”</w:t>
      </w:r>
      <w:r>
        <w:t xml:space="preserve"> </w:t>
      </w:r>
      <w:r>
        <w:rPr>
          <w:i/>
          <w:iCs/>
        </w:rPr>
        <w:t xml:space="preserve">Land</w:t>
      </w:r>
      <w:r>
        <w:t xml:space="preserve"> </w:t>
      </w:r>
      <w:r>
        <w:t xml:space="preserve">11 (9): 1387.</w:t>
      </w:r>
      <w:r>
        <w:t xml:space="preserve"> </w:t>
      </w:r>
      <w:hyperlink r:id="rId258">
        <w:r>
          <w:rPr>
            <w:rStyle w:val="Hyperlink"/>
          </w:rPr>
          <w:t xml:space="preserve">https://doi.org/10.3390/land11091387</w:t>
        </w:r>
      </w:hyperlink>
      <w:r>
        <w:t xml:space="preserve">.</w:t>
      </w:r>
    </w:p>
    <w:bookmarkEnd w:id="259"/>
    <w:bookmarkStart w:id="261" w:name="ref-springer2017"/>
    <w:p>
      <w:pPr>
        <w:pStyle w:val="Bibliography"/>
      </w:pPr>
      <w:r>
        <w:t xml:space="preserve">Springer, Abraham E., Elizabeth M. Boldt, and Katie M. Junghans. 2017.</w:t>
      </w:r>
      <w:r>
        <w:t xml:space="preserve"> </w:t>
      </w:r>
      <w:r>
        <w:t xml:space="preserve">“Local Vs. Regional Groundwater Flow Delineation from Stable Isotopes at Western North America Springs.”</w:t>
      </w:r>
      <w:r>
        <w:t xml:space="preserve"> </w:t>
      </w:r>
      <w:r>
        <w:rPr>
          <w:i/>
          <w:iCs/>
        </w:rPr>
        <w:t xml:space="preserve">Groundwater</w:t>
      </w:r>
      <w:r>
        <w:t xml:space="preserve"> </w:t>
      </w:r>
      <w:r>
        <w:t xml:space="preserve">55 (1): 100–109.</w:t>
      </w:r>
      <w:r>
        <w:t xml:space="preserve"> </w:t>
      </w:r>
      <w:hyperlink r:id="rId260">
        <w:r>
          <w:rPr>
            <w:rStyle w:val="Hyperlink"/>
          </w:rPr>
          <w:t xml:space="preserve">https://doi.org/10.1111/gwat.12442</w:t>
        </w:r>
      </w:hyperlink>
      <w:r>
        <w:t xml:space="preserve">.</w:t>
      </w:r>
    </w:p>
    <w:bookmarkEnd w:id="261"/>
    <w:bookmarkStart w:id="263" w:name="ref-stanturf2014"/>
    <w:p>
      <w:pPr>
        <w:pStyle w:val="Bibliography"/>
      </w:pPr>
      <w:r>
        <w:t xml:space="preserve">Stanturf, John A., Brian J. Palik, and R. Kasten Dumroese. 2014.</w:t>
      </w:r>
      <w:r>
        <w:t xml:space="preserve"> </w:t>
      </w:r>
      <w:r>
        <w:t xml:space="preserve">“Contemporary Forest Restoration: A Review Emphasizing Function.”</w:t>
      </w:r>
      <w:r>
        <w:t xml:space="preserve"> </w:t>
      </w:r>
      <w:r>
        <w:rPr>
          <w:i/>
          <w:iCs/>
        </w:rPr>
        <w:t xml:space="preserve">Forest Ecology and Management</w:t>
      </w:r>
      <w:r>
        <w:t xml:space="preserve"> </w:t>
      </w:r>
      <w:r>
        <w:t xml:space="preserve">331 (November): 292–323.</w:t>
      </w:r>
      <w:r>
        <w:t xml:space="preserve"> </w:t>
      </w:r>
      <w:hyperlink r:id="rId262">
        <w:r>
          <w:rPr>
            <w:rStyle w:val="Hyperlink"/>
          </w:rPr>
          <w:t xml:space="preserve">https://doi.org/10.1016/j.foreco.2014.07.029</w:t>
        </w:r>
      </w:hyperlink>
      <w:r>
        <w:t xml:space="preserve">.</w:t>
      </w:r>
    </w:p>
    <w:bookmarkEnd w:id="263"/>
    <w:bookmarkStart w:id="265" w:name="ref-stewart2025"/>
    <w:p>
      <w:pPr>
        <w:pStyle w:val="Bibliography"/>
      </w:pPr>
      <w:r>
        <w:t xml:space="preserve">Stewart, Earl, and Michael Williams. 2025.</w:t>
      </w:r>
      <w:r>
        <w:t xml:space="preserve"> </w:t>
      </w:r>
      <w:r>
        <w:t xml:space="preserve">“Record of Decision for the Four Forest Restoration Initiative.”</w:t>
      </w:r>
      <w:r>
        <w:t xml:space="preserve"> </w:t>
      </w:r>
      <w:hyperlink r:id="rId264">
        <w:r>
          <w:rPr>
            <w:rStyle w:val="Hyperlink"/>
          </w:rPr>
          <w:t xml:space="preserve">https://www.fs.usda.gov/Internet/FSE_DOCUMENTS/stelprd3836454.pdf</w:t>
        </w:r>
      </w:hyperlink>
      <w:r>
        <w:t xml:space="preserve">.</w:t>
      </w:r>
    </w:p>
    <w:bookmarkEnd w:id="265"/>
    <w:bookmarkStart w:id="267" w:name="ref-tadych_historical_2024"/>
    <w:p>
      <w:pPr>
        <w:pStyle w:val="Bibliography"/>
      </w:pPr>
      <w:r>
        <w:t xml:space="preserve">Tadych, Danielle E., Matthew Ford, Bonnie G. Colby, and Laura E. Condon. 2024.</w:t>
      </w:r>
      <w:r>
        <w:t xml:space="preserve"> </w:t>
      </w:r>
      <w:r>
        <w:t xml:space="preserve">“Historical Patterns of Well Drilling and Groundwater Depth in</w:t>
      </w:r>
      <w:r>
        <w:t xml:space="preserve"> </w:t>
      </w:r>
      <w:r>
        <w:t xml:space="preserve">Arizona</w:t>
      </w:r>
      <w:r>
        <w:t xml:space="preserve"> </w:t>
      </w:r>
      <w:r>
        <w:t xml:space="preserve">Considering Groundwater Regulation and Surface Water Access.”</w:t>
      </w:r>
      <w:r>
        <w:t xml:space="preserve"> </w:t>
      </w:r>
      <w:r>
        <w:rPr>
          <w:i/>
          <w:iCs/>
        </w:rPr>
        <w:t xml:space="preserve">JAWRA Journal of the American Water Resources Association</w:t>
      </w:r>
      <w:r>
        <w:t xml:space="preserve">, October, 1752–1688.13234.</w:t>
      </w:r>
      <w:r>
        <w:t xml:space="preserve"> </w:t>
      </w:r>
      <w:hyperlink r:id="rId266">
        <w:r>
          <w:rPr>
            <w:rStyle w:val="Hyperlink"/>
          </w:rPr>
          <w:t xml:space="preserve">https://doi.org/10.1111/1752-1688.13234</w:t>
        </w:r>
      </w:hyperlink>
      <w:r>
        <w:t xml:space="preserve">.</w:t>
      </w:r>
    </w:p>
    <w:bookmarkEnd w:id="267"/>
    <w:bookmarkStart w:id="269" w:name="ref-tobin2018"/>
    <w:p>
      <w:pPr>
        <w:pStyle w:val="Bibliography"/>
      </w:pPr>
      <w:r>
        <w:t xml:space="preserve">Tobin, Benjamin W., Abraham E. Springer, David K. Kreamer, and Edward Schenk. 2018.</w:t>
      </w:r>
      <w:r>
        <w:t xml:space="preserve"> </w:t>
      </w:r>
      <w:r>
        <w:t xml:space="preserve">“Review: The Distribution, Flow, and Quality of Grand Canyon Springs, Arizona (USA).”</w:t>
      </w:r>
      <w:r>
        <w:t xml:space="preserve"> </w:t>
      </w:r>
      <w:r>
        <w:rPr>
          <w:i/>
          <w:iCs/>
        </w:rPr>
        <w:t xml:space="preserve">Hydrogeology Journal</w:t>
      </w:r>
      <w:r>
        <w:t xml:space="preserve"> </w:t>
      </w:r>
      <w:r>
        <w:t xml:space="preserve">26 (3): 721–32.</w:t>
      </w:r>
      <w:r>
        <w:t xml:space="preserve"> </w:t>
      </w:r>
      <w:hyperlink r:id="rId268">
        <w:r>
          <w:rPr>
            <w:rStyle w:val="Hyperlink"/>
          </w:rPr>
          <w:t xml:space="preserve">https://doi.org/10.1007/s10040-017-1688-8</w:t>
        </w:r>
      </w:hyperlink>
      <w:r>
        <w:t xml:space="preserve">.</w:t>
      </w:r>
    </w:p>
    <w:bookmarkEnd w:id="269"/>
    <w:bookmarkStart w:id="271" w:name="ref-udall_twentyfirst_2017"/>
    <w:p>
      <w:pPr>
        <w:pStyle w:val="Bibliography"/>
      </w:pPr>
      <w:r>
        <w:t xml:space="preserve">Udall, Bradley, and Jonathan Overpeck. 2017.</w:t>
      </w:r>
      <w:r>
        <w:t xml:space="preserve"> </w:t>
      </w:r>
      <w:r>
        <w:t xml:space="preserve">“The Twenty‐first Century</w:t>
      </w:r>
      <w:r>
        <w:t xml:space="preserve"> </w:t>
      </w:r>
      <w:r>
        <w:t xml:space="preserve">Colorado</w:t>
      </w:r>
      <w:r>
        <w:t xml:space="preserve"> </w:t>
      </w:r>
      <w:r>
        <w:t xml:space="preserve">River</w:t>
      </w:r>
      <w:r>
        <w:t xml:space="preserve"> </w:t>
      </w:r>
      <w:r>
        <w:t xml:space="preserve">Hot Drought and Implications for the Future.”</w:t>
      </w:r>
      <w:r>
        <w:t xml:space="preserve"> </w:t>
      </w:r>
      <w:r>
        <w:rPr>
          <w:i/>
          <w:iCs/>
        </w:rPr>
        <w:t xml:space="preserve">Water Resources Research</w:t>
      </w:r>
      <w:r>
        <w:t xml:space="preserve"> </w:t>
      </w:r>
      <w:r>
        <w:t xml:space="preserve">53 (3): 2404–18.</w:t>
      </w:r>
      <w:r>
        <w:t xml:space="preserve"> </w:t>
      </w:r>
      <w:hyperlink r:id="rId270">
        <w:r>
          <w:rPr>
            <w:rStyle w:val="Hyperlink"/>
          </w:rPr>
          <w:t xml:space="preserve">https://doi.org/10.1002/2016WR019638</w:t>
        </w:r>
      </w:hyperlink>
      <w:r>
        <w:t xml:space="preserve">.</w:t>
      </w:r>
    </w:p>
    <w:bookmarkEnd w:id="271"/>
    <w:bookmarkStart w:id="273" w:name="ref-us_forest_service_2014"/>
    <w:p>
      <w:pPr>
        <w:pStyle w:val="Bibliography"/>
      </w:pPr>
      <w:r>
        <w:t xml:space="preserve">U.S. Forest Service. 2014.</w:t>
      </w:r>
      <w:r>
        <w:t xml:space="preserve"> </w:t>
      </w:r>
      <w:r>
        <w:t xml:space="preserve">“Proposed Directive on Groundwater Resource Management.”</w:t>
      </w:r>
      <w:r>
        <w:t xml:space="preserve"> </w:t>
      </w:r>
      <w:hyperlink r:id="rId272">
        <w:r>
          <w:rPr>
            <w:rStyle w:val="Hyperlink"/>
          </w:rPr>
          <w:t xml:space="preserve">https://www.federalregister.gov/documents/2014/05/06/2014-10366/proposed-directive-on-groundwater-resource-management-forest-service-manual-2560</w:t>
        </w:r>
      </w:hyperlink>
      <w:r>
        <w:t xml:space="preserve">.</w:t>
      </w:r>
    </w:p>
    <w:bookmarkEnd w:id="273"/>
    <w:bookmarkStart w:id="275" w:name="ref-house_agriculture_committee_2014"/>
    <w:p>
      <w:pPr>
        <w:pStyle w:val="Bibliography"/>
      </w:pPr>
      <w:r>
        <w:t xml:space="preserve">U.S. House Committee on Agriculture. 2014.</w:t>
      </w:r>
      <w:r>
        <w:t xml:space="preserve"> </w:t>
      </w:r>
      <w:r>
        <w:t xml:space="preserve">“Hearing on the u.s. Forest Service’s Proposed Groundwater Directive.”</w:t>
      </w:r>
      <w:r>
        <w:t xml:space="preserve"> </w:t>
      </w:r>
      <w:hyperlink r:id="rId274">
        <w:r>
          <w:rPr>
            <w:rStyle w:val="Hyperlink"/>
          </w:rPr>
          <w:t xml:space="preserve">https://www.govinfo.gov/content/pkg/CHRG-113hhrg89799/html/CHRG-113hhrg89799.htm</w:t>
        </w:r>
      </w:hyperlink>
      <w:r>
        <w:t xml:space="preserve">.</w:t>
      </w:r>
    </w:p>
    <w:bookmarkEnd w:id="275"/>
    <w:bookmarkStart w:id="277" w:name="ref-veatch2009"/>
    <w:p>
      <w:pPr>
        <w:pStyle w:val="Bibliography"/>
      </w:pPr>
      <w:r>
        <w:t xml:space="preserve">Veatch, W., P. D. Brooks, J. R. Gustafson, and N. P. Molotch. 2009.</w:t>
      </w:r>
      <w:r>
        <w:t xml:space="preserve"> </w:t>
      </w:r>
      <w:r>
        <w:t xml:space="preserve">“</w:t>
      </w:r>
      <w:r>
        <w:t xml:space="preserve">‘</w:t>
      </w:r>
      <w:r>
        <w:t xml:space="preserve">Quantifying the Effects of Forest Canopy Cover on Net Snow Accumulation at a Continental, Mid</w:t>
      </w:r>
      <w:r>
        <w:t xml:space="preserve">-</w:t>
      </w:r>
      <w:r>
        <w:t xml:space="preserve">Latitude Site</w:t>
      </w:r>
      <w:r>
        <w:t xml:space="preserve">’</w:t>
      </w:r>
      <w:r>
        <w:t xml:space="preserve">.”</w:t>
      </w:r>
      <w:r>
        <w:t xml:space="preserve"> </w:t>
      </w:r>
      <w:r>
        <w:rPr>
          <w:i/>
          <w:iCs/>
        </w:rPr>
        <w:t xml:space="preserve">Ecohydrology</w:t>
      </w:r>
      <w:r>
        <w:t xml:space="preserve"> </w:t>
      </w:r>
      <w:r>
        <w:t xml:space="preserve">2 (2): 115–28.</w:t>
      </w:r>
      <w:r>
        <w:t xml:space="preserve"> </w:t>
      </w:r>
      <w:hyperlink r:id="rId276">
        <w:r>
          <w:rPr>
            <w:rStyle w:val="Hyperlink"/>
          </w:rPr>
          <w:t xml:space="preserve">https://doi.org/10.1002/eco.45</w:t>
        </w:r>
      </w:hyperlink>
      <w:r>
        <w:t xml:space="preserve">.</w:t>
      </w:r>
    </w:p>
    <w:bookmarkEnd w:id="277"/>
    <w:bookmarkStart w:id="279" w:name="ref-wasserman2023"/>
    <w:p>
      <w:pPr>
        <w:pStyle w:val="Bibliography"/>
      </w:pPr>
      <w:r>
        <w:t xml:space="preserve">Wasserman, Tzeidle N., and Stephanie E. Mueller. 2023.</w:t>
      </w:r>
      <w:r>
        <w:t xml:space="preserve"> </w:t>
      </w:r>
      <w:r>
        <w:t xml:space="preserve">“Climate Influences on Future Fire Severity: A Synthesis of Climate-Fire Interactions and Impacts on Fire Regimes, High-Severity Fire, and Forests in the Western United States.”</w:t>
      </w:r>
      <w:r>
        <w:t xml:space="preserve"> </w:t>
      </w:r>
      <w:r>
        <w:rPr>
          <w:i/>
          <w:iCs/>
        </w:rPr>
        <w:t xml:space="preserve">Fire Ecology</w:t>
      </w:r>
      <w:r>
        <w:t xml:space="preserve"> </w:t>
      </w:r>
      <w:r>
        <w:t xml:space="preserve">19 (1).</w:t>
      </w:r>
      <w:r>
        <w:t xml:space="preserve"> </w:t>
      </w:r>
      <w:hyperlink r:id="rId278">
        <w:r>
          <w:rPr>
            <w:rStyle w:val="Hyperlink"/>
          </w:rPr>
          <w:t xml:space="preserve">https://doi.org/10.1186/s42408-023-00200-8</w:t>
        </w:r>
      </w:hyperlink>
      <w:r>
        <w:t xml:space="preserve">.</w:t>
      </w:r>
    </w:p>
    <w:bookmarkEnd w:id="279"/>
    <w:bookmarkStart w:id="281" w:name="ref-weary2014"/>
    <w:p>
      <w:pPr>
        <w:pStyle w:val="Bibliography"/>
      </w:pPr>
      <w:r>
        <w:t xml:space="preserve">Weary, David J., and Daniel H. Doctor. 2014.</w:t>
      </w:r>
      <w:r>
        <w:t xml:space="preserve"> </w:t>
      </w:r>
      <w:r>
        <w:t xml:space="preserve">“Karst in the United States: A Digital Map Compilation and Database.”</w:t>
      </w:r>
      <w:r>
        <w:t xml:space="preserve"> </w:t>
      </w:r>
      <w:r>
        <w:t xml:space="preserve">Reston, VA.</w:t>
      </w:r>
      <w:r>
        <w:t xml:space="preserve"> </w:t>
      </w:r>
      <w:hyperlink r:id="rId280">
        <w:r>
          <w:rPr>
            <w:rStyle w:val="Hyperlink"/>
          </w:rPr>
          <w:t xml:space="preserve">https://pubs.usgs.gov/of/2014/1156/pdf/of2014-1156.pdf</w:t>
        </w:r>
      </w:hyperlink>
      <w:r>
        <w:t xml:space="preserve">.</w:t>
      </w:r>
    </w:p>
    <w:bookmarkEnd w:id="281"/>
    <w:bookmarkStart w:id="283" w:name="ref-williams_rapid_2022"/>
    <w:p>
      <w:pPr>
        <w:pStyle w:val="Bibliography"/>
      </w:pPr>
      <w:r>
        <w:t xml:space="preserve">Williams, A. Park, Benjamin I. Cook, and Jason E. Smerdon. 2022.</w:t>
      </w:r>
      <w:r>
        <w:t xml:space="preserve"> </w:t>
      </w:r>
      <w:r>
        <w:t xml:space="preserve">“Rapid Intensification of the Emerging Southwestern</w:t>
      </w:r>
      <w:r>
        <w:t xml:space="preserve"> </w:t>
      </w:r>
      <w:r>
        <w:t xml:space="preserve">North</w:t>
      </w:r>
      <w:r>
        <w:t xml:space="preserve"> </w:t>
      </w:r>
      <w:r>
        <w:t xml:space="preserve">American</w:t>
      </w:r>
      <w:r>
        <w:t xml:space="preserve"> </w:t>
      </w:r>
      <w:r>
        <w:t xml:space="preserve">Megadrought in 2020–2021.”</w:t>
      </w:r>
      <w:r>
        <w:t xml:space="preserve"> </w:t>
      </w:r>
      <w:r>
        <w:rPr>
          <w:i/>
          <w:iCs/>
        </w:rPr>
        <w:t xml:space="preserve">Nature Climate Change</w:t>
      </w:r>
      <w:r>
        <w:t xml:space="preserve"> </w:t>
      </w:r>
      <w:r>
        <w:t xml:space="preserve">12 (3): 232–34.</w:t>
      </w:r>
      <w:r>
        <w:t xml:space="preserve"> </w:t>
      </w:r>
      <w:hyperlink r:id="rId282">
        <w:r>
          <w:rPr>
            <w:rStyle w:val="Hyperlink"/>
          </w:rPr>
          <w:t xml:space="preserve">https://doi.org/10.1038/s41558-022-01290-z</w:t>
        </w:r>
      </w:hyperlink>
      <w:r>
        <w:t xml:space="preserve">.</w:t>
      </w:r>
    </w:p>
    <w:bookmarkEnd w:id="283"/>
    <w:bookmarkStart w:id="285" w:name="ref-woessner2020"/>
    <w:p>
      <w:pPr>
        <w:pStyle w:val="Bibliography"/>
      </w:pPr>
      <w:r>
        <w:t xml:space="preserve">Woessner, William, and Eileen Poeter. 2020.</w:t>
      </w:r>
      <w:r>
        <w:t xml:space="preserve"> </w:t>
      </w:r>
      <w:r>
        <w:t xml:space="preserve">“Hydrogeologic Properties of Earth Materials and Principles of Groundwater Flow.”</w:t>
      </w:r>
      <w:r>
        <w:t xml:space="preserve"> </w:t>
      </w:r>
      <w:hyperlink r:id="rId284">
        <w:r>
          <w:rPr>
            <w:rStyle w:val="Hyperlink"/>
          </w:rPr>
          <w:t xml:space="preserve">https://doi.org/10.21083/978-1-7770541-2-0</w:t>
        </w:r>
      </w:hyperlink>
      <w:r>
        <w:t xml:space="preserve">.</w:t>
      </w:r>
    </w:p>
    <w:bookmarkEnd w:id="285"/>
    <w:bookmarkStart w:id="287" w:name="ref-wyatt2015"/>
    <w:p>
      <w:pPr>
        <w:pStyle w:val="Bibliography"/>
      </w:pPr>
      <w:r>
        <w:t xml:space="preserve">Wyatt, Clint, Francis C. O’Donnell, and Abraham E. Springer. 2015.</w:t>
      </w:r>
      <w:r>
        <w:t xml:space="preserve"> </w:t>
      </w:r>
      <w:r>
        <w:t xml:space="preserve">“Semi</w:t>
      </w:r>
      <w:r>
        <w:t xml:space="preserve">-</w:t>
      </w:r>
      <w:r>
        <w:t xml:space="preserve">Arid Aquifer Responses to Forest Restoration Treatments and Climate Change.”</w:t>
      </w:r>
      <w:r>
        <w:t xml:space="preserve"> </w:t>
      </w:r>
      <w:r>
        <w:rPr>
          <w:i/>
          <w:iCs/>
        </w:rPr>
        <w:t xml:space="preserve">Ground Water</w:t>
      </w:r>
      <w:r>
        <w:t xml:space="preserve">.</w:t>
      </w:r>
      <w:r>
        <w:t xml:space="preserve"> </w:t>
      </w:r>
      <w:hyperlink r:id="rId286">
        <w:r>
          <w:rPr>
            <w:rStyle w:val="Hyperlink"/>
          </w:rPr>
          <w:t xml:space="preserve">https://doi.org/10.1111/gwat.12184</w:t>
        </w:r>
      </w:hyperlink>
      <w:r>
        <w:t xml:space="preserve">.</w:t>
      </w:r>
    </w:p>
    <w:bookmarkEnd w:id="287"/>
    <w:bookmarkStart w:id="289" w:name="ref-wyatt_estimating_2013"/>
    <w:p>
      <w:pPr>
        <w:pStyle w:val="Bibliography"/>
      </w:pPr>
      <w:r>
        <w:t xml:space="preserve">Wyatt, Clinton J W. 2013b.</w:t>
      </w:r>
      <w:r>
        <w:t xml:space="preserve"> </w:t>
      </w:r>
      <w:r>
        <w:t xml:space="preserve">“Estimating Groundwater Yield Following Forest Restoration Along the</w:t>
      </w:r>
      <w:r>
        <w:t xml:space="preserve"> </w:t>
      </w:r>
      <w:r>
        <w:t xml:space="preserve">Mogollon</w:t>
      </w:r>
      <w:r>
        <w:t xml:space="preserve"> </w:t>
      </w:r>
      <w:r>
        <w:t xml:space="preserve">Rim</w:t>
      </w:r>
      <w:r>
        <w:t xml:space="preserve">.”</w:t>
      </w:r>
      <w:r>
        <w:t xml:space="preserve"> </w:t>
      </w:r>
      <w:r>
        <w:t xml:space="preserve">Master’s thesis, Flagstaff, AZ: Northern Arizona University.</w:t>
      </w:r>
      <w:r>
        <w:t xml:space="preserve"> </w:t>
      </w:r>
      <w:hyperlink r:id="rId288">
        <w:r>
          <w:rPr>
            <w:rStyle w:val="Hyperlink"/>
          </w:rPr>
          <w:t xml:space="preserve">https://cdm17192.contentdm.oclc.org/digital/collection/p17192coll1/id/476/rec/3</w:t>
        </w:r>
      </w:hyperlink>
      <w:r>
        <w:t xml:space="preserve">.</w:t>
      </w:r>
    </w:p>
    <w:bookmarkEnd w:id="289"/>
    <w:bookmarkStart w:id="290" w:name="ref-wyatt2013"/>
    <w:p>
      <w:pPr>
        <w:pStyle w:val="Bibliography"/>
      </w:pPr>
      <w:r>
        <w:t xml:space="preserve">———. 2013a.</w:t>
      </w:r>
      <w:r>
        <w:t xml:space="preserve"> </w:t>
      </w:r>
      <w:r>
        <w:t xml:space="preserve">“Estimating Groundwater Yield Following Forest Restoration Along the Mogollon Rim.”</w:t>
      </w:r>
      <w:r>
        <w:t xml:space="preserve"> </w:t>
      </w:r>
      <w:r>
        <w:t xml:space="preserve">PhD thesis, Flagstaff, AZ.</w:t>
      </w:r>
      <w:r>
        <w:t xml:space="preserve"> </w:t>
      </w:r>
      <w:hyperlink r:id="rId288">
        <w:r>
          <w:rPr>
            <w:rStyle w:val="Hyperlink"/>
          </w:rPr>
          <w:t xml:space="preserve">https://cdm17192.contentdm.oclc.org/digital/collection/p17192coll1/id/476/rec/3</w:t>
        </w:r>
      </w:hyperlink>
      <w:r>
        <w:t xml:space="preserve">.</w:t>
      </w:r>
    </w:p>
    <w:bookmarkEnd w:id="290"/>
    <w:bookmarkStart w:id="292" w:name="ref-youberg2019"/>
    <w:p>
      <w:pPr>
        <w:pStyle w:val="Bibliography"/>
      </w:pPr>
      <w:r>
        <w:t xml:space="preserve">Youberg, Ann M., Joseph B. Loverich, Michael J. Kellogg, and Jonathan E. Fuller. 2019.</w:t>
      </w:r>
      <w:r>
        <w:t xml:space="preserve"> </w:t>
      </w:r>
      <w:r>
        <w:t xml:space="preserve">“Before the Fire: Assessing Post-Wildfire Flooding and Debris-Flow Hazards for Pre-Disaster Mitigation.”</w:t>
      </w:r>
      <w:r>
        <w:t xml:space="preserve"> </w:t>
      </w:r>
      <w:hyperlink r:id="rId291">
        <w:r>
          <w:rPr>
            <w:rStyle w:val="Hyperlink"/>
          </w:rPr>
          <w:t xml:space="preserve">http://dx.doi.org/10.5194/nhess-2019-74</w:t>
        </w:r>
      </w:hyperlink>
      <w:r>
        <w:t xml:space="preserve">.</w:t>
      </w:r>
    </w:p>
    <w:bookmarkEnd w:id="292"/>
    <w:bookmarkStart w:id="294" w:name="ref-zeng2018"/>
    <w:p>
      <w:pPr>
        <w:pStyle w:val="Bibliography"/>
      </w:pPr>
      <w:r>
        <w:t xml:space="preserve">Zeng, Xubin, Patrick Broxton, and Nicholas Dawson. 2018.</w:t>
      </w:r>
      <w:r>
        <w:t xml:space="preserve"> </w:t>
      </w:r>
      <w:r>
        <w:t xml:space="preserve">“Snowpack Change From 1982 to 2016 Over Conterminous United States.”</w:t>
      </w:r>
      <w:r>
        <w:t xml:space="preserve"> </w:t>
      </w:r>
      <w:r>
        <w:rPr>
          <w:i/>
          <w:iCs/>
        </w:rPr>
        <w:t xml:space="preserve">Geophysical Research Letters</w:t>
      </w:r>
      <w:r>
        <w:t xml:space="preserve"> </w:t>
      </w:r>
      <w:r>
        <w:t xml:space="preserve">45 (23).</w:t>
      </w:r>
      <w:r>
        <w:t xml:space="preserve"> </w:t>
      </w:r>
      <w:hyperlink r:id="rId293">
        <w:r>
          <w:rPr>
            <w:rStyle w:val="Hyperlink"/>
          </w:rPr>
          <w:t xml:space="preserve">https://doi.org/10.1029/2018gl079621</w:t>
        </w:r>
      </w:hyperlink>
      <w:r>
        <w:t xml:space="preserve">.</w:t>
      </w:r>
    </w:p>
    <w:bookmarkEnd w:id="294"/>
    <w:bookmarkStart w:id="296" w:name="ref-zou_streamflow_2010"/>
    <w:p>
      <w:pPr>
        <w:pStyle w:val="Bibliography"/>
      </w:pPr>
      <w:r>
        <w:t xml:space="preserve">Zou, Chris B., Peter F. Ffolliott, and Michael Wine. 2010.</w:t>
      </w:r>
      <w:r>
        <w:t xml:space="preserve"> </w:t>
      </w:r>
      <w:r>
        <w:t xml:space="preserve">“Streamflow Responses to Vegetation Manipulations Along a Gradient of Precipitation in the</w:t>
      </w:r>
      <w:r>
        <w:t xml:space="preserve"> </w:t>
      </w:r>
      <w:r>
        <w:t xml:space="preserve">Colorado</w:t>
      </w:r>
      <w:r>
        <w:t xml:space="preserve"> </w:t>
      </w:r>
      <w:r>
        <w:t xml:space="preserve">River</w:t>
      </w:r>
      <w:r>
        <w:t xml:space="preserve"> </w:t>
      </w:r>
      <w:r>
        <w:t xml:space="preserve">Basin</w:t>
      </w:r>
      <w:r>
        <w:t xml:space="preserve">.”</w:t>
      </w:r>
      <w:r>
        <w:t xml:space="preserve"> </w:t>
      </w:r>
      <w:r>
        <w:rPr>
          <w:i/>
          <w:iCs/>
        </w:rPr>
        <w:t xml:space="preserve">Forest Ecology and Management</w:t>
      </w:r>
      <w:r>
        <w:t xml:space="preserve"> </w:t>
      </w:r>
      <w:r>
        <w:t xml:space="preserve">259 (7): 1268–76.</w:t>
      </w:r>
      <w:r>
        <w:t xml:space="preserve"> </w:t>
      </w:r>
      <w:hyperlink r:id="rId295">
        <w:r>
          <w:rPr>
            <w:rStyle w:val="Hyperlink"/>
          </w:rPr>
          <w:t xml:space="preserve">https://doi.org/10.1016/j.foreco.2009.08.005</w:t>
        </w:r>
      </w:hyperlink>
      <w:r>
        <w:t xml:space="preserve">.</w:t>
      </w:r>
    </w:p>
    <w:bookmarkEnd w:id="296"/>
    <w:bookmarkEnd w:id="297"/>
    <w:bookmarkEnd w:id="298"/>
    <w:bookmarkStart w:id="390" w:name="appendix"/>
    <w:p>
      <w:pPr>
        <w:pStyle w:val="Heading1"/>
      </w:pPr>
      <w:r>
        <w:t xml:space="preserve">8. Appendix</w:t>
      </w:r>
    </w:p>
    <w:bookmarkStart w:id="307" w:name="additional-figures"/>
    <w:p>
      <w:pPr>
        <w:pStyle w:val="Heading2"/>
      </w:pPr>
      <w:r>
        <w:t xml:space="preserve">8.1 Additional Figures</w:t>
      </w:r>
    </w:p>
    <w:tbl>
      <w:tblPr>
        <w:tblStyle w:val="Table"/>
        <w:tblW w:type="pct" w:w="5000"/>
        <w:tblLayout w:type="fixed"/>
        <w:tblLook w:firstRow="0" w:lastRow="0" w:firstColumn="0" w:lastColumn="0" w:noHBand="0" w:noVBand="0" w:val="0000"/>
      </w:tblPr>
      <w:tblGrid>
        <w:gridCol w:w="7920"/>
      </w:tblGrid>
      <w:tr>
        <w:tc>
          <w:tcPr/>
          <w:bookmarkStart w:id="302" w:name="fig-suithist"/>
          <w:p>
            <w:pPr>
              <w:pStyle w:val="Compact"/>
              <w:jc w:val="center"/>
            </w:pPr>
            <w:r>
              <w:drawing>
                <wp:inline>
                  <wp:extent cx="5334000" cy="4000499"/>
                  <wp:effectExtent b="0" l="0" r="0" t="0"/>
                  <wp:docPr descr="" title="" id="300" name="Picture"/>
                  <a:graphic>
                    <a:graphicData uri="http://schemas.openxmlformats.org/drawingml/2006/picture">
                      <pic:pic>
                        <pic:nvPicPr>
                          <pic:cNvPr descr="images/fig-suitability-hist.png" id="301" name="Picture"/>
                          <pic:cNvPicPr>
                            <a:picLocks noChangeArrowheads="1" noChangeAspect="1"/>
                          </pic:cNvPicPr>
                        </pic:nvPicPr>
                        <pic:blipFill>
                          <a:blip r:embed="rId299"/>
                          <a:stretch>
                            <a:fillRect/>
                          </a:stretch>
                        </pic:blipFill>
                        <pic:spPr bwMode="auto">
                          <a:xfrm>
                            <a:off x="0" y="0"/>
                            <a:ext cx="5334000" cy="4000499"/>
                          </a:xfrm>
                          <a:prstGeom prst="rect">
                            <a:avLst/>
                          </a:prstGeom>
                          <a:noFill/>
                          <a:ln w="9525">
                            <a:noFill/>
                            <a:headEnd/>
                            <a:tailEnd/>
                          </a:ln>
                        </pic:spPr>
                      </pic:pic>
                    </a:graphicData>
                  </a:graphic>
                </wp:inline>
              </w:drawing>
            </w:r>
          </w:p>
          <w:p>
            <w:pPr>
              <w:jc w:val="center"/>
            </w:pPr>
            <w:pPr>
              <w:jc w:val="start"/>
              <w:spacing w:before="200"/>
              <w:pStyle w:val="ImageCaption"/>
            </w:pPr>
            <w:r>
              <w:t xml:space="preserve">Figure 9: Histogram of pixel values of suitability for thinning to enhance recharge statewide.</w:t>
            </w:r>
          </w:p>
          <w:bookmarkEnd w:id="302"/>
        </w:tc>
      </w:tr>
    </w:tbl>
    <w:p>
      <w:pPr>
        <w:pStyle w:val="BodyText"/>
      </w:pPr>
      <w:r>
        <w:t xml:space="preserve"> </w:t>
      </w:r>
    </w:p>
    <w:tbl>
      <w:tblPr>
        <w:tblStyle w:val="Table"/>
        <w:tblW w:type="pct" w:w="5000"/>
        <w:tblLayout w:type="fixed"/>
        <w:tblLook w:firstRow="0" w:lastRow="0" w:firstColumn="0" w:lastColumn="0" w:noHBand="0" w:noVBand="0" w:val="0000"/>
      </w:tblPr>
      <w:tblGrid>
        <w:gridCol w:w="7920"/>
      </w:tblGrid>
      <w:tr>
        <w:tc>
          <w:tcPr/>
          <w:bookmarkStart w:id="306" w:name="fig-perm"/>
          <w:p>
            <w:pPr>
              <w:pStyle w:val="Compact"/>
              <w:jc w:val="center"/>
            </w:pPr>
            <w:r>
              <w:drawing>
                <wp:inline>
                  <wp:extent cx="5334000" cy="3238500"/>
                  <wp:effectExtent b="0" l="0" r="0" t="0"/>
                  <wp:docPr descr="" title="" id="304" name="Picture"/>
                  <a:graphic>
                    <a:graphicData uri="http://schemas.openxmlformats.org/drawingml/2006/picture">
                      <pic:pic>
                        <pic:nvPicPr>
                          <pic:cNvPr descr="images/fig-por-perm.jpg" id="305" name="Picture"/>
                          <pic:cNvPicPr>
                            <a:picLocks noChangeArrowheads="1" noChangeAspect="1"/>
                          </pic:cNvPicPr>
                        </pic:nvPicPr>
                        <pic:blipFill>
                          <a:blip r:embed="rId303"/>
                          <a:stretch>
                            <a:fillRect/>
                          </a:stretch>
                        </pic:blipFill>
                        <pic:spPr bwMode="auto">
                          <a:xfrm>
                            <a:off x="0" y="0"/>
                            <a:ext cx="5334000" cy="3238500"/>
                          </a:xfrm>
                          <a:prstGeom prst="rect">
                            <a:avLst/>
                          </a:prstGeom>
                          <a:noFill/>
                          <a:ln w="9525">
                            <a:noFill/>
                            <a:headEnd/>
                            <a:tailEnd/>
                          </a:ln>
                        </pic:spPr>
                      </pic:pic>
                    </a:graphicData>
                  </a:graphic>
                </wp:inline>
              </w:drawing>
            </w:r>
          </w:p>
          <w:p>
            <w:pPr>
              <w:jc w:val="center"/>
            </w:pPr>
            <w:pPr>
              <w:jc w:val="start"/>
              <w:spacing w:before="200"/>
              <w:pStyle w:val="ImageCaption"/>
            </w:pPr>
            <w:r>
              <w:t xml:space="preserve">Figure 10: Matrix permeability and porosity values from GLHYMPS v2 rasterized and clipped to the AZH8 Study Area. Porosity values (Po) are shown in the left panel with darker green colors representing higher Po and lighter greens indicating lower Po. The panel on the right shows permeability (Pm) with areas of higher Pm in dark purple and lower Pm in lighter purples. These values represent the primary Pm and Po of the near-surface bedrock matrix but do not reflect secondary or tertiary Pm and Po caused by fractures, faults, or sinks. Note also that the scale of this geologic mapping does not represent stream channels, which may be areas of higher Pm. These values largely represent diffuse recharge potential.</w:t>
            </w:r>
          </w:p>
          <w:bookmarkEnd w:id="306"/>
        </w:tc>
      </w:tr>
    </w:tbl>
    <w:bookmarkEnd w:id="307"/>
    <w:bookmarkStart w:id="344" w:name="addtional-methods"/>
    <w:p>
      <w:pPr>
        <w:pStyle w:val="Heading2"/>
      </w:pPr>
      <w:r>
        <w:t xml:space="preserve">8.2 Addtional Methods</w:t>
      </w:r>
    </w:p>
    <w:bookmarkStart w:id="316" w:name="vdi"/>
    <w:p>
      <w:pPr>
        <w:pStyle w:val="Heading3"/>
      </w:pPr>
      <w:r>
        <w:t xml:space="preserve">8.2.1 VDI</w:t>
      </w:r>
    </w:p>
    <w:tbl>
      <w:tblPr>
        <w:tblStyle w:val="Table"/>
        <w:tblW w:type="pct" w:w="5000"/>
        <w:tblLayout w:type="fixed"/>
        <w:tblLook w:firstRow="0" w:lastRow="0" w:firstColumn="0" w:lastColumn="0" w:noHBand="0" w:noVBand="0" w:val="0000"/>
      </w:tblPr>
      <w:tblGrid>
        <w:gridCol w:w="7920"/>
      </w:tblGrid>
      <w:tr>
        <w:tc>
          <w:tcPr/>
          <w:bookmarkStart w:id="311" w:name="fig-ccba"/>
          <w:p>
            <w:pPr>
              <w:pStyle w:val="Compact"/>
              <w:jc w:val="center"/>
            </w:pPr>
            <w:r>
              <w:drawing>
                <wp:inline>
                  <wp:extent cx="5334000" cy="2588992"/>
                  <wp:effectExtent b="0" l="0" r="0" t="0"/>
                  <wp:docPr descr="" title="" id="309" name="Picture"/>
                  <a:graphic>
                    <a:graphicData uri="http://schemas.openxmlformats.org/drawingml/2006/picture">
                      <pic:pic>
                        <pic:nvPicPr>
                          <pic:cNvPr descr="images/fig-ccba.png" id="310" name="Picture"/>
                          <pic:cNvPicPr>
                            <a:picLocks noChangeArrowheads="1" noChangeAspect="1"/>
                          </pic:cNvPicPr>
                        </pic:nvPicPr>
                        <pic:blipFill>
                          <a:blip r:embed="rId308"/>
                          <a:stretch>
                            <a:fillRect/>
                          </a:stretch>
                        </pic:blipFill>
                        <pic:spPr bwMode="auto">
                          <a:xfrm>
                            <a:off x="0" y="0"/>
                            <a:ext cx="5334000" cy="2588992"/>
                          </a:xfrm>
                          <a:prstGeom prst="rect">
                            <a:avLst/>
                          </a:prstGeom>
                          <a:noFill/>
                          <a:ln w="9525">
                            <a:noFill/>
                            <a:headEnd/>
                            <a:tailEnd/>
                          </a:ln>
                        </pic:spPr>
                      </pic:pic>
                    </a:graphicData>
                  </a:graphic>
                </wp:inline>
              </w:drawing>
            </w:r>
          </w:p>
          <w:p>
            <w:pPr>
              <w:jc w:val="center"/>
            </w:pPr>
            <w:pPr>
              <w:jc w:val="start"/>
              <w:spacing w:before="200"/>
              <w:pStyle w:val="ImageCaption"/>
            </w:pPr>
            <w:r>
              <w:t xml:space="preserve">Figure 11: Canopy Cover and basal area rescaling functions for forest thinning suitability. Minimum and maximum threshold values for canopy cover are 12.5% and 28.75% respectively. Minimum and maximum threshold values for basal area are 13.15 (m^2 ha^-1) and 25.71 (m^2 ha^-1) respectively.</w:t>
            </w:r>
          </w:p>
          <w:bookmarkEnd w:id="311"/>
        </w:tc>
      </w:tr>
    </w:tbl>
    <w:p>
      <w:r>
        <w:pict>
          <v:rect style="width:0;height:1.5pt" o:hralign="center" o:hrstd="t" o:hr="t"/>
        </w:pict>
      </w:r>
    </w:p>
    <w:tbl>
      <w:tblPr>
        <w:tblStyle w:val="Table"/>
        <w:tblW w:type="pct" w:w="5000"/>
        <w:tblLayout w:type="fixed"/>
        <w:tblLook w:firstRow="0" w:lastRow="0" w:firstColumn="0" w:lastColumn="0" w:noHBand="0" w:noVBand="0" w:val="0000"/>
      </w:tblPr>
      <w:tblGrid>
        <w:gridCol w:w="7920"/>
      </w:tblGrid>
      <w:tr>
        <w:tc>
          <w:tcPr/>
          <w:bookmarkStart w:id="315" w:name="fig-veg"/>
          <w:p>
            <w:pPr>
              <w:pStyle w:val="Compact"/>
              <w:jc w:val="center"/>
            </w:pPr>
            <w:r>
              <w:drawing>
                <wp:inline>
                  <wp:extent cx="5334000" cy="3238500"/>
                  <wp:effectExtent b="0" l="0" r="0" t="0"/>
                  <wp:docPr descr="" title="" id="313" name="Picture"/>
                  <a:graphic>
                    <a:graphicData uri="http://schemas.openxmlformats.org/drawingml/2006/picture">
                      <pic:pic>
                        <pic:nvPicPr>
                          <pic:cNvPr descr="images/fig-veg.jpg" id="314" name="Picture"/>
                          <pic:cNvPicPr>
                            <a:picLocks noChangeArrowheads="1" noChangeAspect="1"/>
                          </pic:cNvPicPr>
                        </pic:nvPicPr>
                        <pic:blipFill>
                          <a:blip r:embed="rId312"/>
                          <a:stretch>
                            <a:fillRect/>
                          </a:stretch>
                        </pic:blipFill>
                        <pic:spPr bwMode="auto">
                          <a:xfrm>
                            <a:off x="0" y="0"/>
                            <a:ext cx="5334000" cy="3238500"/>
                          </a:xfrm>
                          <a:prstGeom prst="rect">
                            <a:avLst/>
                          </a:prstGeom>
                          <a:noFill/>
                          <a:ln w="9525">
                            <a:noFill/>
                            <a:headEnd/>
                            <a:tailEnd/>
                          </a:ln>
                        </pic:spPr>
                      </pic:pic>
                    </a:graphicData>
                  </a:graphic>
                </wp:inline>
              </w:drawing>
            </w:r>
          </w:p>
          <w:p>
            <w:pPr>
              <w:jc w:val="center"/>
            </w:pPr>
            <w:pPr>
              <w:jc w:val="start"/>
              <w:spacing w:before="200"/>
              <w:pStyle w:val="ImageCaption"/>
            </w:pPr>
            <w:r>
              <w:t xml:space="preserve">Figure 12: Canopy cover (%) from the National Landcover dataset 2021, and basal area (m^2^ ha^-1^) from Treemap 2016 are shown. These two thematic layers were combined to create the vegetation density index (VDI).</w:t>
            </w:r>
          </w:p>
          <w:bookmarkEnd w:id="315"/>
        </w:tc>
      </w:tr>
    </w:tbl>
    <w:bookmarkEnd w:id="316"/>
    <w:bookmarkStart w:id="327" w:name="smii"/>
    <w:p>
      <w:pPr>
        <w:pStyle w:val="Heading3"/>
      </w:pPr>
      <w:r>
        <w:t xml:space="preserve">8.2.2 SMII</w:t>
      </w:r>
    </w:p>
    <w:tbl>
      <w:tblPr>
        <w:tblStyle w:val="Table"/>
        <w:tblW w:type="pct" w:w="5000"/>
        <w:tblLayout w:type="fixed"/>
        <w:tblLook w:firstRow="0" w:lastRow="0" w:firstColumn="0" w:lastColumn="0" w:noHBand="0" w:noVBand="0" w:val="0000"/>
      </w:tblPr>
      <w:tblGrid>
        <w:gridCol w:w="7920"/>
      </w:tblGrid>
      <w:tr>
        <w:tc>
          <w:tcPr/>
          <w:bookmarkStart w:id="320" w:name="fig-sankey-smii"/>
          <w:p>
            <w:pPr>
              <w:pStyle w:val="Compact"/>
              <w:jc w:val="center"/>
            </w:pPr>
            <w:r>
              <w:drawing>
                <wp:inline>
                  <wp:extent cx="5334000" cy="3733800"/>
                  <wp:effectExtent b="0" l="0" r="0" t="0"/>
                  <wp:docPr descr="" title="" id="318" name="Picture"/>
                  <a:graphic>
                    <a:graphicData uri="http://schemas.openxmlformats.org/drawingml/2006/picture">
                      <pic:pic>
                        <pic:nvPicPr>
                          <pic:cNvPr descr="images/fig-sankey-smii2.png" id="319" name="Picture"/>
                          <pic:cNvPicPr>
                            <a:picLocks noChangeArrowheads="1" noChangeAspect="1"/>
                          </pic:cNvPicPr>
                        </pic:nvPicPr>
                        <pic:blipFill>
                          <a:blip r:embed="rId317"/>
                          <a:stretch>
                            <a:fillRect/>
                          </a:stretch>
                        </pic:blipFill>
                        <pic:spPr bwMode="auto">
                          <a:xfrm>
                            <a:off x="0" y="0"/>
                            <a:ext cx="5334000" cy="3733800"/>
                          </a:xfrm>
                          <a:prstGeom prst="rect">
                            <a:avLst/>
                          </a:prstGeom>
                          <a:noFill/>
                          <a:ln w="9525">
                            <a:noFill/>
                            <a:headEnd/>
                            <a:tailEnd/>
                          </a:ln>
                        </pic:spPr>
                      </pic:pic>
                    </a:graphicData>
                  </a:graphic>
                </wp:inline>
              </w:drawing>
            </w:r>
          </w:p>
          <w:p>
            <w:pPr>
              <w:jc w:val="center"/>
            </w:pPr>
            <w:pPr>
              <w:jc w:val="start"/>
              <w:spacing w:before="200"/>
              <w:pStyle w:val="ImageCaption"/>
            </w:pPr>
            <w:r>
              <w:t xml:space="preserve">Figure 13: Sankey diagram showing the relative contributions of sTRMI and sSoilK in the Soil Moisture and Infiltration Index (SMII).</w:t>
            </w:r>
          </w:p>
          <w:bookmarkEnd w:id="320"/>
        </w:tc>
      </w:tr>
    </w:tbl>
    <w:p>
      <w:r>
        <w:pict>
          <v:rect style="width:0;height:1.5pt" o:hralign="center" o:hrstd="t" o:hr="t"/>
        </w:pict>
      </w:r>
    </w:p>
    <w:tbl>
      <w:tblPr>
        <w:tblStyle w:val="Table"/>
        <w:tblW w:type="pct" w:w="5000"/>
        <w:tblLayout w:type="fixed"/>
        <w:tblLook w:firstRow="0" w:lastRow="0" w:firstColumn="0" w:lastColumn="0" w:noHBand="0" w:noVBand="0" w:val="0000"/>
      </w:tblPr>
      <w:tblGrid>
        <w:gridCol w:w="7920"/>
      </w:tblGrid>
      <w:tr>
        <w:tc>
          <w:tcPr/>
          <w:bookmarkStart w:id="321" w:name="tbl-hydcon"/>
          <w:p>
            <w:pPr>
              <w:jc w:val="center"/>
            </w:pPr>
            <w:pPr>
              <w:jc w:val="start"/>
              <w:spacing w:before="200"/>
              <w:pStyle w:val="ImageCaption"/>
            </w:pPr>
            <w:r>
              <w:t xml:space="preserve">Table 2: Hydraulic Conductivity (Ksat) using a depth weighted average for 0 - 200 cm, Standard classes from Very Low to Very High, reclassified suitability values 1-10, and presence or absence within the study area.</w:t>
            </w:r>
          </w:p>
          <w:tbl>
            <w:tblPr>
              <w:tblStyle w:val="Table"/>
              <w:tblW w:type="pct" w:w="5000"/>
              <w:tblLayout w:type="fixed"/>
              <w:tblLook w:firstRow="1" w:lastRow="0" w:firstColumn="0" w:lastColumn="0" w:noHBand="0" w:noVBand="0" w:val="0020"/>
            </w:tblPr>
            <w:tblGrid>
              <w:gridCol w:w="1952"/>
              <w:gridCol w:w="1952"/>
              <w:gridCol w:w="2061"/>
              <w:gridCol w:w="1952"/>
            </w:tblGrid>
            <w:tr>
              <w:trPr>
                <w:tblHeader w:val="on"/>
              </w:trPr>
              <w:tc>
                <w:tcPr/>
                <w:p>
                  <w:pPr>
                    <w:pStyle w:val="Compact"/>
                    <w:jc w:val="center"/>
                  </w:pPr>
                  <w:r>
                    <w:t xml:space="preserve">Ksat</w:t>
                  </w:r>
                </w:p>
              </w:tc>
              <w:tc>
                <w:tcPr/>
                <w:p>
                  <w:pPr>
                    <w:pStyle w:val="Compact"/>
                    <w:jc w:val="center"/>
                  </w:pPr>
                  <w:r>
                    <w:t xml:space="preserve">Standard Class</w:t>
                  </w:r>
                </w:p>
              </w:tc>
              <w:tc>
                <w:tcPr/>
                <w:p>
                  <w:pPr>
                    <w:pStyle w:val="Compact"/>
                    <w:jc w:val="center"/>
                  </w:pPr>
                  <w:r>
                    <w:t xml:space="preserve">Assigned suitability score</w:t>
                  </w:r>
                </w:p>
              </w:tc>
              <w:tc>
                <w:tcPr/>
                <w:p>
                  <w:pPr>
                    <w:pStyle w:val="Compact"/>
                    <w:jc w:val="center"/>
                  </w:pPr>
                  <w:r>
                    <w:t xml:space="preserve">Present in Study Area</w:t>
                  </w:r>
                </w:p>
              </w:tc>
            </w:tr>
            <w:tr>
              <w:tc>
                <w:tcPr/>
                <w:p>
                  <w:pPr>
                    <w:pStyle w:val="Compact"/>
                    <w:jc w:val="center"/>
                  </w:pPr>
                  <w:r>
                    <w:t xml:space="preserve">0.0 - 0.01</w:t>
                  </w:r>
                </w:p>
              </w:tc>
              <w:tc>
                <w:tcPr/>
                <w:p>
                  <w:pPr>
                    <w:pStyle w:val="Compact"/>
                    <w:jc w:val="center"/>
                  </w:pPr>
                  <w:r>
                    <w:t xml:space="preserve">Very Low</w:t>
                  </w:r>
                </w:p>
              </w:tc>
              <w:tc>
                <w:tcPr/>
                <w:p>
                  <w:pPr>
                    <w:pStyle w:val="Compact"/>
                    <w:jc w:val="center"/>
                  </w:pPr>
                  <w:r>
                    <w:t xml:space="preserve">1</w:t>
                  </w:r>
                </w:p>
              </w:tc>
              <w:tc>
                <w:tcPr/>
                <w:p>
                  <w:pPr>
                    <w:pStyle w:val="Compact"/>
                    <w:jc w:val="center"/>
                  </w:pPr>
                  <w:r>
                    <w:t xml:space="preserve">No</w:t>
                  </w:r>
                </w:p>
              </w:tc>
            </w:tr>
            <w:tr>
              <w:tc>
                <w:tcPr/>
                <w:p>
                  <w:pPr>
                    <w:pStyle w:val="Compact"/>
                    <w:jc w:val="center"/>
                  </w:pPr>
                  <w:r>
                    <w:t xml:space="preserve">0.01 - 0.1</w:t>
                  </w:r>
                </w:p>
              </w:tc>
              <w:tc>
                <w:tcPr/>
                <w:p>
                  <w:pPr>
                    <w:pStyle w:val="Compact"/>
                    <w:jc w:val="center"/>
                  </w:pPr>
                  <w:r>
                    <w:t xml:space="preserve">Low</w:t>
                  </w:r>
                </w:p>
              </w:tc>
              <w:tc>
                <w:tcPr/>
                <w:p>
                  <w:pPr>
                    <w:pStyle w:val="Compact"/>
                    <w:jc w:val="center"/>
                  </w:pPr>
                  <w:r>
                    <w:t xml:space="preserve">2</w:t>
                  </w:r>
                </w:p>
              </w:tc>
              <w:tc>
                <w:tcPr/>
                <w:p>
                  <w:pPr>
                    <w:pStyle w:val="Compact"/>
                    <w:jc w:val="center"/>
                  </w:pPr>
                  <w:r>
                    <w:t xml:space="preserve">No</w:t>
                  </w:r>
                </w:p>
              </w:tc>
            </w:tr>
            <w:tr>
              <w:tc>
                <w:tcPr/>
                <w:p>
                  <w:pPr>
                    <w:pStyle w:val="Compact"/>
                    <w:jc w:val="center"/>
                  </w:pPr>
                  <w:r>
                    <w:t xml:space="preserve">0.1 - 1</w:t>
                  </w:r>
                </w:p>
              </w:tc>
              <w:tc>
                <w:tcPr/>
                <w:p>
                  <w:pPr>
                    <w:pStyle w:val="Compact"/>
                    <w:jc w:val="center"/>
                  </w:pPr>
                  <w:r>
                    <w:t xml:space="preserve">Moderately Low</w:t>
                  </w:r>
                </w:p>
              </w:tc>
              <w:tc>
                <w:tcPr/>
                <w:p>
                  <w:pPr>
                    <w:pStyle w:val="Compact"/>
                    <w:jc w:val="center"/>
                  </w:pPr>
                  <w:r>
                    <w:t xml:space="preserve">4</w:t>
                  </w:r>
                </w:p>
              </w:tc>
              <w:tc>
                <w:tcPr/>
                <w:p>
                  <w:pPr>
                    <w:pStyle w:val="Compact"/>
                    <w:jc w:val="center"/>
                  </w:pPr>
                  <w:r>
                    <w:t xml:space="preserve">Yes</w:t>
                  </w:r>
                </w:p>
              </w:tc>
            </w:tr>
            <w:tr>
              <w:tc>
                <w:tcPr/>
                <w:p>
                  <w:pPr>
                    <w:pStyle w:val="Compact"/>
                    <w:jc w:val="center"/>
                  </w:pPr>
                  <w:r>
                    <w:t xml:space="preserve">1 - 10</w:t>
                  </w:r>
                </w:p>
              </w:tc>
              <w:tc>
                <w:tcPr/>
                <w:p>
                  <w:pPr>
                    <w:pStyle w:val="Compact"/>
                    <w:jc w:val="center"/>
                  </w:pPr>
                  <w:r>
                    <w:t xml:space="preserve">Moderately High</w:t>
                  </w:r>
                </w:p>
              </w:tc>
              <w:tc>
                <w:tcPr/>
                <w:p>
                  <w:pPr>
                    <w:pStyle w:val="Compact"/>
                    <w:jc w:val="center"/>
                  </w:pPr>
                  <w:r>
                    <w:t xml:space="preserve">6</w:t>
                  </w:r>
                </w:p>
              </w:tc>
              <w:tc>
                <w:tcPr/>
                <w:p>
                  <w:pPr>
                    <w:pStyle w:val="Compact"/>
                    <w:jc w:val="center"/>
                  </w:pPr>
                  <w:r>
                    <w:t xml:space="preserve">Yes</w:t>
                  </w:r>
                </w:p>
              </w:tc>
            </w:tr>
            <w:tr>
              <w:tc>
                <w:tcPr/>
                <w:p>
                  <w:pPr>
                    <w:pStyle w:val="Compact"/>
                    <w:jc w:val="center"/>
                  </w:pPr>
                  <w:r>
                    <w:t xml:space="preserve">10 - 100</w:t>
                  </w:r>
                </w:p>
              </w:tc>
              <w:tc>
                <w:tcPr/>
                <w:p>
                  <w:pPr>
                    <w:pStyle w:val="Compact"/>
                    <w:jc w:val="center"/>
                  </w:pPr>
                  <w:r>
                    <w:t xml:space="preserve">High</w:t>
                  </w:r>
                </w:p>
              </w:tc>
              <w:tc>
                <w:tcPr/>
                <w:p>
                  <w:pPr>
                    <w:pStyle w:val="Compact"/>
                    <w:jc w:val="center"/>
                  </w:pPr>
                  <w:r>
                    <w:t xml:space="preserve">8</w:t>
                  </w:r>
                </w:p>
              </w:tc>
              <w:tc>
                <w:tcPr/>
                <w:p>
                  <w:pPr>
                    <w:pStyle w:val="Compact"/>
                    <w:jc w:val="center"/>
                  </w:pPr>
                  <w:r>
                    <w:t xml:space="preserve">Yes</w:t>
                  </w:r>
                </w:p>
              </w:tc>
            </w:tr>
            <w:tr>
              <w:tc>
                <w:tcPr/>
                <w:p>
                  <w:pPr>
                    <w:pStyle w:val="Compact"/>
                    <w:jc w:val="center"/>
                  </w:pPr>
                  <w:r>
                    <w:t xml:space="preserve">100 - 705</w:t>
                  </w:r>
                </w:p>
              </w:tc>
              <w:tc>
                <w:tcPr/>
                <w:p>
                  <w:pPr>
                    <w:pStyle w:val="Compact"/>
                    <w:jc w:val="center"/>
                  </w:pPr>
                  <w:r>
                    <w:t xml:space="preserve">Very High</w:t>
                  </w:r>
                </w:p>
              </w:tc>
              <w:tc>
                <w:tcPr/>
                <w:p>
                  <w:pPr>
                    <w:pStyle w:val="Compact"/>
                    <w:jc w:val="center"/>
                  </w:pPr>
                  <w:r>
                    <w:t xml:space="preserve">10</w:t>
                  </w:r>
                </w:p>
              </w:tc>
              <w:tc>
                <w:tcPr/>
                <w:p>
                  <w:pPr>
                    <w:pStyle w:val="Compact"/>
                    <w:jc w:val="center"/>
                  </w:pPr>
                  <w:r>
                    <w:t xml:space="preserve">Yes</w:t>
                  </w:r>
                </w:p>
              </w:tc>
            </w:tr>
          </w:tbl>
          <w:bookmarkEnd w:id="321"/>
          <w:p/>
        </w:tc>
      </w:tr>
    </w:tbl>
    <w:p>
      <w:r>
        <w:pict>
          <v:rect style="width:0;height:1.5pt" o:hralign="center" o:hrstd="t" o:hr="t"/>
        </w:pict>
      </w:r>
    </w:p>
    <w:tbl>
      <w:tblPr>
        <w:tblStyle w:val="Table"/>
        <w:tblW w:type="pct" w:w="5000"/>
        <w:tblLayout w:type="fixed"/>
        <w:tblLook w:firstRow="0" w:lastRow="0" w:firstColumn="0" w:lastColumn="0" w:noHBand="0" w:noVBand="0" w:val="0000"/>
      </w:tblPr>
      <w:tblGrid>
        <w:gridCol w:w="7920"/>
      </w:tblGrid>
      <w:tr>
        <w:tc>
          <w:tcPr/>
          <w:bookmarkStart w:id="322" w:name="tbl-geo"/>
          <w:p>
            <w:pPr>
              <w:jc w:val="center"/>
            </w:pPr>
            <w:pPr>
              <w:jc w:val="start"/>
              <w:spacing w:before="200"/>
              <w:pStyle w:val="ImageCaption"/>
            </w:pPr>
            <w:r>
              <w:t xml:space="preserve">Table 3: Geomorphon landforms and associated suitability values depicting wetness values associated with those landforms from lowest (1) to highest (20).</w:t>
            </w:r>
          </w:p>
          <w:tbl>
            <w:tblPr>
              <w:tblStyle w:val="Table"/>
              <w:tblW w:type="auto" w:w="0"/>
              <w:tblLook w:firstRow="1" w:lastRow="0" w:firstColumn="0" w:lastColumn="0" w:noHBand="0" w:noVBand="0" w:val="0020"/>
            </w:tblPr>
            <w:tblGrid>
              <w:gridCol w:w="3960"/>
              <w:gridCol w:w="3960"/>
            </w:tblGrid>
            <w:tr>
              <w:trPr>
                <w:tblHeader w:val="on"/>
              </w:trPr>
              <w:tc>
                <w:tcPr/>
                <w:p>
                  <w:pPr>
                    <w:pStyle w:val="Compact"/>
                    <w:jc w:val="center"/>
                  </w:pPr>
                  <w:r>
                    <w:t xml:space="preserve">Geomorphon landform</w:t>
                  </w:r>
                </w:p>
              </w:tc>
              <w:tc>
                <w:tcPr/>
                <w:p>
                  <w:pPr>
                    <w:pStyle w:val="Compact"/>
                    <w:jc w:val="center"/>
                  </w:pPr>
                  <w:r>
                    <w:t xml:space="preserve">Wetness value (1-20)</w:t>
                  </w:r>
                </w:p>
              </w:tc>
            </w:tr>
            <w:tr>
              <w:tc>
                <w:tcPr/>
                <w:p>
                  <w:pPr>
                    <w:pStyle w:val="Compact"/>
                    <w:jc w:val="center"/>
                  </w:pPr>
                  <w:r>
                    <w:t xml:space="preserve">Pit</w:t>
                  </w:r>
                </w:p>
              </w:tc>
              <w:tc>
                <w:tcPr/>
                <w:p>
                  <w:pPr>
                    <w:pStyle w:val="Compact"/>
                    <w:jc w:val="center"/>
                  </w:pPr>
                  <w:r>
                    <w:t xml:space="preserve">20</w:t>
                  </w:r>
                </w:p>
              </w:tc>
            </w:tr>
            <w:tr>
              <w:tc>
                <w:tcPr/>
                <w:p>
                  <w:pPr>
                    <w:pStyle w:val="Compact"/>
                    <w:jc w:val="center"/>
                  </w:pPr>
                  <w:r>
                    <w:t xml:space="preserve">Valley</w:t>
                  </w:r>
                </w:p>
              </w:tc>
              <w:tc>
                <w:tcPr/>
                <w:p>
                  <w:pPr>
                    <w:pStyle w:val="Compact"/>
                    <w:jc w:val="center"/>
                  </w:pPr>
                  <w:r>
                    <w:t xml:space="preserve">18</w:t>
                  </w:r>
                </w:p>
              </w:tc>
            </w:tr>
            <w:tr>
              <w:tc>
                <w:tcPr/>
                <w:p>
                  <w:pPr>
                    <w:pStyle w:val="Compact"/>
                    <w:jc w:val="center"/>
                  </w:pPr>
                  <w:r>
                    <w:t xml:space="preserve">Hollow</w:t>
                  </w:r>
                </w:p>
              </w:tc>
              <w:tc>
                <w:tcPr/>
                <w:p>
                  <w:pPr>
                    <w:pStyle w:val="Compact"/>
                    <w:jc w:val="center"/>
                  </w:pPr>
                  <w:r>
                    <w:t xml:space="preserve">14</w:t>
                  </w:r>
                </w:p>
              </w:tc>
            </w:tr>
            <w:tr>
              <w:tc>
                <w:tcPr/>
                <w:p>
                  <w:pPr>
                    <w:pStyle w:val="Compact"/>
                    <w:jc w:val="center"/>
                  </w:pPr>
                  <w:r>
                    <w:t xml:space="preserve">Footslope</w:t>
                  </w:r>
                </w:p>
              </w:tc>
              <w:tc>
                <w:tcPr/>
                <w:p>
                  <w:pPr>
                    <w:pStyle w:val="Compact"/>
                    <w:jc w:val="center"/>
                  </w:pPr>
                  <w:r>
                    <w:t xml:space="preserve">12</w:t>
                  </w:r>
                </w:p>
              </w:tc>
            </w:tr>
            <w:tr>
              <w:tc>
                <w:tcPr/>
                <w:p>
                  <w:pPr>
                    <w:pStyle w:val="Compact"/>
                    <w:jc w:val="center"/>
                  </w:pPr>
                  <w:r>
                    <w:t xml:space="preserve">Flat</w:t>
                  </w:r>
                </w:p>
              </w:tc>
              <w:tc>
                <w:tcPr/>
                <w:p>
                  <w:pPr>
                    <w:pStyle w:val="Compact"/>
                    <w:jc w:val="center"/>
                  </w:pPr>
                  <w:r>
                    <w:t xml:space="preserve">10</w:t>
                  </w:r>
                </w:p>
              </w:tc>
            </w:tr>
            <w:tr>
              <w:tc>
                <w:tcPr/>
                <w:p>
                  <w:pPr>
                    <w:pStyle w:val="Compact"/>
                    <w:jc w:val="center"/>
                  </w:pPr>
                  <w:r>
                    <w:t xml:space="preserve">Slope</w:t>
                  </w:r>
                </w:p>
              </w:tc>
              <w:tc>
                <w:tcPr/>
                <w:p>
                  <w:pPr>
                    <w:pStyle w:val="Compact"/>
                    <w:jc w:val="center"/>
                  </w:pPr>
                  <w:r>
                    <w:t xml:space="preserve">8</w:t>
                  </w:r>
                </w:p>
              </w:tc>
            </w:tr>
            <w:tr>
              <w:tc>
                <w:tcPr/>
                <w:p>
                  <w:pPr>
                    <w:pStyle w:val="Compact"/>
                    <w:jc w:val="center"/>
                  </w:pPr>
                  <w:r>
                    <w:t xml:space="preserve">Spur</w:t>
                  </w:r>
                </w:p>
              </w:tc>
              <w:tc>
                <w:tcPr/>
                <w:p>
                  <w:pPr>
                    <w:pStyle w:val="Compact"/>
                    <w:jc w:val="center"/>
                  </w:pPr>
                  <w:r>
                    <w:t xml:space="preserve">6</w:t>
                  </w:r>
                </w:p>
              </w:tc>
            </w:tr>
            <w:tr>
              <w:tc>
                <w:tcPr/>
                <w:p>
                  <w:pPr>
                    <w:pStyle w:val="Compact"/>
                    <w:jc w:val="center"/>
                  </w:pPr>
                  <w:r>
                    <w:t xml:space="preserve">Shoulder</w:t>
                  </w:r>
                </w:p>
              </w:tc>
              <w:tc>
                <w:tcPr/>
                <w:p>
                  <w:pPr>
                    <w:pStyle w:val="Compact"/>
                    <w:jc w:val="center"/>
                  </w:pPr>
                  <w:r>
                    <w:t xml:space="preserve">4</w:t>
                  </w:r>
                </w:p>
              </w:tc>
            </w:tr>
            <w:tr>
              <w:tc>
                <w:tcPr/>
                <w:p>
                  <w:pPr>
                    <w:pStyle w:val="Compact"/>
                    <w:jc w:val="center"/>
                  </w:pPr>
                  <w:r>
                    <w:t xml:space="preserve">Ridge</w:t>
                  </w:r>
                </w:p>
              </w:tc>
              <w:tc>
                <w:tcPr/>
                <w:p>
                  <w:pPr>
                    <w:pStyle w:val="Compact"/>
                    <w:jc w:val="center"/>
                  </w:pPr>
                  <w:r>
                    <w:t xml:space="preserve">2</w:t>
                  </w:r>
                </w:p>
              </w:tc>
            </w:tr>
            <w:tr>
              <w:tc>
                <w:tcPr/>
                <w:p>
                  <w:pPr>
                    <w:pStyle w:val="Compact"/>
                    <w:jc w:val="center"/>
                  </w:pPr>
                  <w:r>
                    <w:t xml:space="preserve">Peak</w:t>
                  </w:r>
                </w:p>
              </w:tc>
              <w:tc>
                <w:tcPr/>
                <w:p>
                  <w:pPr>
                    <w:pStyle w:val="Compact"/>
                    <w:jc w:val="center"/>
                  </w:pPr>
                  <w:r>
                    <w:t xml:space="preserve">1</w:t>
                  </w:r>
                </w:p>
              </w:tc>
            </w:tr>
          </w:tbl>
          <w:bookmarkEnd w:id="322"/>
          <w:p/>
        </w:tc>
      </w:tr>
    </w:tbl>
    <w:p>
      <w:r>
        <w:pict>
          <v:rect style="width:0;height:1.5pt" o:hralign="center" o:hrstd="t" o:hr="t"/>
        </w:pict>
      </w:r>
    </w:p>
    <w:tbl>
      <w:tblPr>
        <w:tblStyle w:val="Table"/>
        <w:tblW w:type="pct" w:w="5000"/>
        <w:tblLayout w:type="fixed"/>
        <w:tblLook w:firstRow="0" w:lastRow="0" w:firstColumn="0" w:lastColumn="0" w:noHBand="0" w:noVBand="0" w:val="0000"/>
      </w:tblPr>
      <w:tblGrid>
        <w:gridCol w:w="7920"/>
      </w:tblGrid>
      <w:tr>
        <w:tc>
          <w:tcPr/>
          <w:bookmarkStart w:id="323" w:name="tbl-steep"/>
          <w:p>
            <w:pPr>
              <w:jc w:val="center"/>
            </w:pPr>
            <w:pPr>
              <w:jc w:val="start"/>
              <w:spacing w:before="200"/>
              <w:pStyle w:val="ImageCaption"/>
            </w:pPr>
            <w:r>
              <w:t xml:space="preserve">Table 4: Slope steepness and the wetness value (1-10) which is summed as part of the TRMI calculation.</w:t>
            </w:r>
          </w:p>
          <w:tbl>
            <w:tblPr>
              <w:tblStyle w:val="Table"/>
              <w:tblW w:type="auto" w:w="0"/>
              <w:tblLook w:firstRow="1" w:lastRow="0" w:firstColumn="0" w:lastColumn="0" w:noHBand="0" w:noVBand="0" w:val="0020"/>
            </w:tblPr>
            <w:tblGrid>
              <w:gridCol w:w="3960"/>
              <w:gridCol w:w="3960"/>
            </w:tblGrid>
            <w:tr>
              <w:trPr>
                <w:tblHeader w:val="on"/>
              </w:trPr>
              <w:tc>
                <w:tcPr/>
                <w:p>
                  <w:pPr>
                    <w:pStyle w:val="Compact"/>
                    <w:jc w:val="center"/>
                  </w:pPr>
                  <w:r>
                    <w:t xml:space="preserve">Steepness (degrees)</w:t>
                  </w:r>
                </w:p>
              </w:tc>
              <w:tc>
                <w:tcPr/>
                <w:p>
                  <w:pPr>
                    <w:pStyle w:val="Compact"/>
                    <w:jc w:val="center"/>
                  </w:pPr>
                  <w:r>
                    <w:t xml:space="preserve">Wetness Value (1-10)</w:t>
                  </w:r>
                </w:p>
              </w:tc>
            </w:tr>
            <w:tr>
              <w:tc>
                <w:tcPr/>
                <w:p>
                  <w:pPr>
                    <w:pStyle w:val="Compact"/>
                    <w:jc w:val="center"/>
                  </w:pPr>
                  <w:r>
                    <w:t xml:space="preserve">&lt;3.0</w:t>
                  </w:r>
                </w:p>
              </w:tc>
              <w:tc>
                <w:tcPr/>
                <w:p>
                  <w:pPr>
                    <w:pStyle w:val="Compact"/>
                    <w:jc w:val="center"/>
                  </w:pPr>
                  <w:r>
                    <w:t xml:space="preserve">10</w:t>
                  </w:r>
                </w:p>
              </w:tc>
            </w:tr>
            <w:tr>
              <w:tc>
                <w:tcPr/>
                <w:p>
                  <w:pPr>
                    <w:pStyle w:val="Compact"/>
                    <w:jc w:val="center"/>
                  </w:pPr>
                  <w:r>
                    <w:t xml:space="preserve">3.0 - 5.9</w:t>
                  </w:r>
                </w:p>
              </w:tc>
              <w:tc>
                <w:tcPr/>
                <w:p>
                  <w:pPr>
                    <w:pStyle w:val="Compact"/>
                    <w:jc w:val="center"/>
                  </w:pPr>
                  <w:r>
                    <w:t xml:space="preserve">9</w:t>
                  </w:r>
                </w:p>
              </w:tc>
            </w:tr>
            <w:tr>
              <w:tc>
                <w:tcPr/>
                <w:p>
                  <w:pPr>
                    <w:pStyle w:val="Compact"/>
                    <w:jc w:val="center"/>
                  </w:pPr>
                  <w:r>
                    <w:t xml:space="preserve">6.0 - 8.9</w:t>
                  </w:r>
                </w:p>
              </w:tc>
              <w:tc>
                <w:tcPr/>
                <w:p>
                  <w:pPr>
                    <w:pStyle w:val="Compact"/>
                    <w:jc w:val="center"/>
                  </w:pPr>
                  <w:r>
                    <w:t xml:space="preserve">8</w:t>
                  </w:r>
                </w:p>
              </w:tc>
            </w:tr>
            <w:tr>
              <w:tc>
                <w:tcPr/>
                <w:p>
                  <w:pPr>
                    <w:pStyle w:val="Compact"/>
                    <w:jc w:val="center"/>
                  </w:pPr>
                  <w:r>
                    <w:t xml:space="preserve">9.0 - 11.9</w:t>
                  </w:r>
                </w:p>
              </w:tc>
              <w:tc>
                <w:tcPr/>
                <w:p>
                  <w:pPr>
                    <w:pStyle w:val="Compact"/>
                    <w:jc w:val="center"/>
                  </w:pPr>
                  <w:r>
                    <w:t xml:space="preserve">7</w:t>
                  </w:r>
                </w:p>
              </w:tc>
            </w:tr>
            <w:tr>
              <w:tc>
                <w:tcPr/>
                <w:p>
                  <w:pPr>
                    <w:pStyle w:val="Compact"/>
                    <w:jc w:val="center"/>
                  </w:pPr>
                  <w:r>
                    <w:t xml:space="preserve">12.0 - 14.9</w:t>
                  </w:r>
                </w:p>
              </w:tc>
              <w:tc>
                <w:tcPr/>
                <w:p>
                  <w:pPr>
                    <w:pStyle w:val="Compact"/>
                    <w:jc w:val="center"/>
                  </w:pPr>
                  <w:r>
                    <w:t xml:space="preserve">6</w:t>
                  </w:r>
                </w:p>
              </w:tc>
            </w:tr>
            <w:tr>
              <w:tc>
                <w:tcPr/>
                <w:p>
                  <w:pPr>
                    <w:pStyle w:val="Compact"/>
                    <w:jc w:val="center"/>
                  </w:pPr>
                  <w:r>
                    <w:t xml:space="preserve">15.0 - 17.9</w:t>
                  </w:r>
                </w:p>
              </w:tc>
              <w:tc>
                <w:tcPr/>
                <w:p>
                  <w:pPr>
                    <w:pStyle w:val="Compact"/>
                    <w:jc w:val="center"/>
                  </w:pPr>
                  <w:r>
                    <w:t xml:space="preserve">5</w:t>
                  </w:r>
                </w:p>
              </w:tc>
            </w:tr>
            <w:tr>
              <w:tc>
                <w:tcPr/>
                <w:p>
                  <w:pPr>
                    <w:pStyle w:val="Compact"/>
                    <w:jc w:val="center"/>
                  </w:pPr>
                  <w:r>
                    <w:t xml:space="preserve">18.0 - 20.9</w:t>
                  </w:r>
                </w:p>
              </w:tc>
              <w:tc>
                <w:tcPr/>
                <w:p>
                  <w:pPr>
                    <w:pStyle w:val="Compact"/>
                    <w:jc w:val="center"/>
                  </w:pPr>
                  <w:r>
                    <w:t xml:space="preserve">4</w:t>
                  </w:r>
                </w:p>
              </w:tc>
            </w:tr>
            <w:tr>
              <w:tc>
                <w:tcPr/>
                <w:p>
                  <w:pPr>
                    <w:pStyle w:val="Compact"/>
                    <w:jc w:val="center"/>
                  </w:pPr>
                  <w:r>
                    <w:t xml:space="preserve">21.0 - 23.9</w:t>
                  </w:r>
                </w:p>
              </w:tc>
              <w:tc>
                <w:tcPr/>
                <w:p>
                  <w:pPr>
                    <w:pStyle w:val="Compact"/>
                    <w:jc w:val="center"/>
                  </w:pPr>
                  <w:r>
                    <w:t xml:space="preserve">3</w:t>
                  </w:r>
                </w:p>
              </w:tc>
            </w:tr>
            <w:tr>
              <w:tc>
                <w:tcPr/>
                <w:p>
                  <w:pPr>
                    <w:pStyle w:val="Compact"/>
                    <w:jc w:val="center"/>
                  </w:pPr>
                  <w:r>
                    <w:t xml:space="preserve">24.0 - 26.9</w:t>
                  </w:r>
                </w:p>
              </w:tc>
              <w:tc>
                <w:tcPr/>
                <w:p>
                  <w:pPr>
                    <w:pStyle w:val="Compact"/>
                    <w:jc w:val="center"/>
                  </w:pPr>
                  <w:r>
                    <w:t xml:space="preserve">2</w:t>
                  </w:r>
                </w:p>
              </w:tc>
            </w:tr>
            <w:tr>
              <w:tc>
                <w:tcPr/>
                <w:p>
                  <w:pPr>
                    <w:pStyle w:val="Compact"/>
                    <w:jc w:val="center"/>
                  </w:pPr>
                  <w:r>
                    <w:t xml:space="preserve">&gt;27.0</w:t>
                  </w:r>
                </w:p>
              </w:tc>
              <w:tc>
                <w:tcPr/>
                <w:p>
                  <w:pPr>
                    <w:pStyle w:val="Compact"/>
                    <w:jc w:val="center"/>
                  </w:pPr>
                  <w:r>
                    <w:t xml:space="preserve">1</w:t>
                  </w:r>
                </w:p>
              </w:tc>
            </w:tr>
          </w:tbl>
          <w:bookmarkEnd w:id="323"/>
          <w:p/>
        </w:tc>
      </w:tr>
    </w:tbl>
    <w:p>
      <w:r>
        <w:pict>
          <v:rect style="width:0;height:1.5pt" o:hralign="center" o:hrstd="t" o:hr="t"/>
        </w:pict>
      </w:r>
    </w:p>
    <w:tbl>
      <w:tblPr>
        <w:tblStyle w:val="Table"/>
        <w:tblW w:type="pct" w:w="5000"/>
        <w:tblLayout w:type="fixed"/>
        <w:tblLook w:firstRow="0" w:lastRow="0" w:firstColumn="0" w:lastColumn="0" w:noHBand="0" w:noVBand="0" w:val="0000"/>
      </w:tblPr>
      <w:tblGrid>
        <w:gridCol w:w="7920"/>
      </w:tblGrid>
      <w:tr>
        <w:tc>
          <w:tcPr/>
          <w:bookmarkStart w:id="324" w:name="tbl-aspect"/>
          <w:p>
            <w:pPr>
              <w:jc w:val="center"/>
            </w:pPr>
            <w:pPr>
              <w:jc w:val="start"/>
              <w:spacing w:before="200"/>
              <w:pStyle w:val="ImageCaption"/>
            </w:pPr>
            <w:r>
              <w:t xml:space="preserve">Table 5: Aspect or Azimuth ° from 0 °(North, 180 ° (South) to 360 ° (North) with -1 representing flat areas. Wetness values 1-20 were applied to these aspects as shown.</w:t>
            </w:r>
          </w:p>
          <w:tbl>
            <w:tblPr>
              <w:tblStyle w:val="Table"/>
              <w:tblW w:type="pct" w:w="5000"/>
              <w:tblLayout w:type="fixed"/>
              <w:tblLook w:firstRow="1" w:lastRow="0" w:firstColumn="0" w:lastColumn="0" w:noHBand="0" w:noVBand="0" w:val="0020"/>
            </w:tblPr>
            <w:tblGrid>
              <w:gridCol w:w="2090"/>
              <w:gridCol w:w="3740"/>
              <w:gridCol w:w="2090"/>
            </w:tblGrid>
            <w:tr>
              <w:trPr>
                <w:tblHeader w:val="on"/>
              </w:trPr>
              <w:tc>
                <w:tcPr/>
                <w:p>
                  <w:pPr>
                    <w:pStyle w:val="Compact"/>
                    <w:jc w:val="center"/>
                  </w:pPr>
                  <w:r>
                    <w:t xml:space="preserve">Aspect °</w:t>
                  </w:r>
                </w:p>
              </w:tc>
              <w:tc>
                <w:tcPr/>
                <w:p>
                  <w:pPr>
                    <w:pStyle w:val="Compact"/>
                    <w:jc w:val="center"/>
                  </w:pPr>
                  <w:r>
                    <w:t xml:space="preserve">Description</w:t>
                  </w:r>
                </w:p>
              </w:tc>
              <w:tc>
                <w:tcPr/>
                <w:p>
                  <w:pPr>
                    <w:pStyle w:val="Compact"/>
                    <w:jc w:val="center"/>
                  </w:pPr>
                  <w:r>
                    <w:t xml:space="preserve">Wetness Value</w:t>
                  </w:r>
                </w:p>
              </w:tc>
            </w:tr>
            <w:tr>
              <w:tc>
                <w:tcPr/>
                <w:p>
                  <w:pPr>
                    <w:pStyle w:val="Compact"/>
                    <w:jc w:val="center"/>
                  </w:pPr>
                  <w:r>
                    <w:t xml:space="preserve">-1</w:t>
                  </w:r>
                </w:p>
              </w:tc>
              <w:tc>
                <w:tcPr/>
                <w:p>
                  <w:pPr>
                    <w:pStyle w:val="Compact"/>
                    <w:jc w:val="center"/>
                  </w:pPr>
                  <w:r>
                    <w:t xml:space="preserve">Neutral (flat areas)</w:t>
                  </w:r>
                </w:p>
              </w:tc>
              <w:tc>
                <w:tcPr/>
                <w:p>
                  <w:pPr>
                    <w:pStyle w:val="Compact"/>
                    <w:jc w:val="center"/>
                  </w:pPr>
                  <w:r>
                    <w:t xml:space="preserve">10</w:t>
                  </w:r>
                </w:p>
              </w:tc>
            </w:tr>
            <w:tr>
              <w:tc>
                <w:tcPr/>
                <w:p>
                  <w:pPr>
                    <w:pStyle w:val="Compact"/>
                    <w:jc w:val="center"/>
                  </w:pPr>
                  <w:r>
                    <w:t xml:space="preserve">0 ° (N)</w:t>
                  </w:r>
                </w:p>
              </w:tc>
              <w:tc>
                <w:tcPr/>
                <w:p>
                  <w:pPr>
                    <w:pStyle w:val="Compact"/>
                    <w:jc w:val="center"/>
                  </w:pPr>
                  <w:r>
                    <w:t xml:space="preserve">Wettest (Shaded, least evaporation)</w:t>
                  </w:r>
                </w:p>
              </w:tc>
              <w:tc>
                <w:tcPr/>
                <w:p>
                  <w:pPr>
                    <w:pStyle w:val="Compact"/>
                    <w:jc w:val="center"/>
                  </w:pPr>
                  <w:r>
                    <w:t xml:space="preserve">20</w:t>
                  </w:r>
                </w:p>
              </w:tc>
            </w:tr>
            <w:tr>
              <w:tc>
                <w:tcPr/>
                <w:p>
                  <w:pPr>
                    <w:pStyle w:val="Compact"/>
                    <w:jc w:val="center"/>
                  </w:pPr>
                  <w:r>
                    <w:t xml:space="preserve">45 ° (NE)</w:t>
                  </w:r>
                </w:p>
              </w:tc>
              <w:tc>
                <w:tcPr/>
                <w:p>
                  <w:pPr>
                    <w:pStyle w:val="Compact"/>
                    <w:jc w:val="center"/>
                  </w:pPr>
                  <w:r>
                    <w:t xml:space="preserve">Moist, receives moderate sun</w:t>
                  </w:r>
                </w:p>
              </w:tc>
              <w:tc>
                <w:tcPr/>
                <w:p>
                  <w:pPr>
                    <w:pStyle w:val="Compact"/>
                    <w:jc w:val="center"/>
                  </w:pPr>
                  <w:r>
                    <w:t xml:space="preserve">16</w:t>
                  </w:r>
                </w:p>
              </w:tc>
            </w:tr>
            <w:tr>
              <w:tc>
                <w:tcPr/>
                <w:p>
                  <w:pPr>
                    <w:pStyle w:val="Compact"/>
                    <w:jc w:val="center"/>
                  </w:pPr>
                  <w:r>
                    <w:t xml:space="preserve">90 ° (E)</w:t>
                  </w:r>
                </w:p>
              </w:tc>
              <w:tc>
                <w:tcPr/>
                <w:p>
                  <w:pPr>
                    <w:pStyle w:val="Compact"/>
                    <w:jc w:val="center"/>
                  </w:pPr>
                  <w:r>
                    <w:t xml:space="preserve">Neutral (morning sun, less drying)</w:t>
                  </w:r>
                </w:p>
              </w:tc>
              <w:tc>
                <w:tcPr/>
                <w:p>
                  <w:pPr>
                    <w:pStyle w:val="Compact"/>
                    <w:jc w:val="center"/>
                  </w:pPr>
                  <w:r>
                    <w:t xml:space="preserve">10</w:t>
                  </w:r>
                </w:p>
              </w:tc>
            </w:tr>
            <w:tr>
              <w:tc>
                <w:tcPr/>
                <w:p>
                  <w:pPr>
                    <w:pStyle w:val="Compact"/>
                    <w:jc w:val="center"/>
                  </w:pPr>
                  <w:r>
                    <w:t xml:space="preserve">135 ° (SE)</w:t>
                  </w:r>
                </w:p>
              </w:tc>
              <w:tc>
                <w:tcPr/>
                <w:p>
                  <w:pPr>
                    <w:pStyle w:val="Compact"/>
                    <w:jc w:val="center"/>
                  </w:pPr>
                  <w:r>
                    <w:t xml:space="preserve">Drying increases</w:t>
                  </w:r>
                </w:p>
              </w:tc>
              <w:tc>
                <w:tcPr/>
                <w:p>
                  <w:pPr>
                    <w:pStyle w:val="Compact"/>
                    <w:jc w:val="center"/>
                  </w:pPr>
                  <w:r>
                    <w:t xml:space="preserve">6</w:t>
                  </w:r>
                </w:p>
              </w:tc>
            </w:tr>
            <w:tr>
              <w:tc>
                <w:tcPr/>
                <w:p>
                  <w:pPr>
                    <w:pStyle w:val="Compact"/>
                    <w:jc w:val="center"/>
                  </w:pPr>
                  <w:r>
                    <w:t xml:space="preserve">180 ° (S)</w:t>
                  </w:r>
                </w:p>
              </w:tc>
              <w:tc>
                <w:tcPr/>
                <w:p>
                  <w:pPr>
                    <w:pStyle w:val="Compact"/>
                    <w:jc w:val="center"/>
                  </w:pPr>
                  <w:r>
                    <w:t xml:space="preserve">Driest (maximum sun exposure)</w:t>
                  </w:r>
                </w:p>
              </w:tc>
              <w:tc>
                <w:tcPr/>
                <w:p>
                  <w:pPr>
                    <w:pStyle w:val="Compact"/>
                    <w:jc w:val="center"/>
                  </w:pPr>
                  <w:r>
                    <w:t xml:space="preserve">1</w:t>
                  </w:r>
                </w:p>
              </w:tc>
            </w:tr>
            <w:tr>
              <w:tc>
                <w:tcPr/>
                <w:p>
                  <w:pPr>
                    <w:pStyle w:val="Compact"/>
                    <w:jc w:val="center"/>
                  </w:pPr>
                  <w:r>
                    <w:t xml:space="preserve">225 ° (SW)</w:t>
                  </w:r>
                </w:p>
              </w:tc>
              <w:tc>
                <w:tcPr/>
                <w:p>
                  <w:pPr>
                    <w:pStyle w:val="Compact"/>
                    <w:jc w:val="center"/>
                  </w:pPr>
                  <w:r>
                    <w:t xml:space="preserve">Quite dry</w:t>
                  </w:r>
                </w:p>
              </w:tc>
              <w:tc>
                <w:tcPr/>
                <w:p>
                  <w:pPr>
                    <w:pStyle w:val="Compact"/>
                    <w:jc w:val="center"/>
                  </w:pPr>
                  <w:r>
                    <w:t xml:space="preserve">4</w:t>
                  </w:r>
                </w:p>
              </w:tc>
            </w:tr>
            <w:tr>
              <w:tc>
                <w:tcPr/>
                <w:p>
                  <w:pPr>
                    <w:pStyle w:val="Compact"/>
                    <w:jc w:val="center"/>
                  </w:pPr>
                  <w:r>
                    <w:t xml:space="preserve">270 ° (West)</w:t>
                  </w:r>
                </w:p>
              </w:tc>
              <w:tc>
                <w:tcPr/>
                <w:p>
                  <w:pPr>
                    <w:pStyle w:val="Compact"/>
                    <w:jc w:val="center"/>
                  </w:pPr>
                  <w:r>
                    <w:t xml:space="preserve">Neutral (afternoon sun, retains some moisture)</w:t>
                  </w:r>
                </w:p>
              </w:tc>
              <w:tc>
                <w:tcPr/>
                <w:p>
                  <w:pPr>
                    <w:pStyle w:val="Compact"/>
                    <w:jc w:val="center"/>
                  </w:pPr>
                  <w:r>
                    <w:t xml:space="preserve">10</w:t>
                  </w:r>
                </w:p>
              </w:tc>
            </w:tr>
            <w:tr>
              <w:tc>
                <w:tcPr/>
                <w:p>
                  <w:pPr>
                    <w:pStyle w:val="Compact"/>
                    <w:jc w:val="center"/>
                  </w:pPr>
                  <w:r>
                    <w:t xml:space="preserve">315 °(NW)</w:t>
                  </w:r>
                </w:p>
              </w:tc>
              <w:tc>
                <w:tcPr/>
                <w:p>
                  <w:pPr>
                    <w:pStyle w:val="Compact"/>
                    <w:jc w:val="center"/>
                  </w:pPr>
                  <w:r>
                    <w:t xml:space="preserve">Moist, cooler</w:t>
                  </w:r>
                </w:p>
              </w:tc>
              <w:tc>
                <w:tcPr/>
                <w:p>
                  <w:pPr>
                    <w:pStyle w:val="Compact"/>
                    <w:jc w:val="center"/>
                  </w:pPr>
                  <w:r>
                    <w:t xml:space="preserve">16</w:t>
                  </w:r>
                </w:p>
              </w:tc>
            </w:tr>
            <w:tr>
              <w:tc>
                <w:tcPr/>
                <w:p>
                  <w:pPr>
                    <w:pStyle w:val="Compact"/>
                    <w:jc w:val="center"/>
                  </w:pPr>
                  <w:r>
                    <w:t xml:space="preserve">360 ° (N)</w:t>
                  </w:r>
                </w:p>
              </w:tc>
              <w:tc>
                <w:tcPr/>
                <w:p>
                  <w:pPr>
                    <w:pStyle w:val="Compact"/>
                    <w:jc w:val="center"/>
                  </w:pPr>
                  <w:r>
                    <w:t xml:space="preserve">Wettest</w:t>
                  </w:r>
                </w:p>
              </w:tc>
              <w:tc>
                <w:tcPr/>
                <w:p>
                  <w:pPr>
                    <w:pStyle w:val="Compact"/>
                    <w:jc w:val="center"/>
                  </w:pPr>
                  <w:r>
                    <w:t xml:space="preserve">20</w:t>
                  </w:r>
                </w:p>
              </w:tc>
            </w:tr>
          </w:tbl>
          <w:bookmarkEnd w:id="324"/>
          <w:p/>
        </w:tc>
      </w:tr>
    </w:tbl>
    <w:p>
      <w:r>
        <w:pict>
          <v:rect style="width:0;height:1.5pt" o:hralign="center" o:hrstd="t" o:hr="t"/>
        </w:pict>
      </w:r>
    </w:p>
    <w:p>
      <w:pPr>
        <w:pStyle w:val="FirstParagraph"/>
      </w:pPr>
      <w:r>
        <w:t xml:space="preserve">Topographic Relative Moisture Index (TRMI) was calculated by summing the wetness values for aspect, slope steepness, geomophon, and TPI by summing, resulting in values between 3 and 60 (</w:t>
      </w:r>
      <w:hyperlink w:anchor="eq-TRMI">
        <w:r>
          <w:rPr>
            <w:rStyle w:val="Hyperlink"/>
          </w:rPr>
          <w:t xml:space="preserve">Equation 5</w:t>
        </w:r>
      </w:hyperlink>
      <w:r>
        <w:t xml:space="preserve">). The TRMI values were then reclassified to a 1-10 scale using (</w:t>
      </w:r>
      <w:hyperlink w:anchor="eq-TRMI2">
        <w:r>
          <w:rPr>
            <w:rStyle w:val="Hyperlink"/>
          </w:rPr>
          <w:t xml:space="preserve">Equation 6</w:t>
        </w:r>
      </w:hyperlink>
      <w:r>
        <w:t xml:space="preserve">).</w:t>
      </w:r>
    </w:p>
    <w:p>
      <w:r>
        <w:pict>
          <v:rect style="width:0;height:1.5pt" o:hralign="center" o:hrstd="t" o:hr="t"/>
        </w:pict>
      </w:r>
    </w:p>
    <w:p>
      <w:pPr>
        <w:pStyle w:val="FirstParagraph"/>
      </w:pPr>
      <w:bookmarkStart w:id="325" w:name="eq-TRMI"/>
      <m:oMathPara>
        <m:oMathParaPr>
          <m:jc m:val="center"/>
        </m:oMathParaPr>
        <m:oMath>
          <m:r>
            <m:t>T</m:t>
          </m:r>
          <m:r>
            <m:t>R</m:t>
          </m:r>
          <m:r>
            <m:t>M</m:t>
          </m:r>
          <m:r>
            <m:t>I</m:t>
          </m:r>
          <m:r>
            <m:rPr>
              <m:sty m:val="p"/>
            </m:rPr>
            <m:t>=</m:t>
          </m:r>
          <m:d>
            <m:dPr>
              <m:begChr m:val="("/>
              <m:sepChr m:val=""/>
              <m:endChr m:val=")"/>
              <m:grow/>
            </m:dPr>
            <m:e>
              <m:r>
                <m:t>A</m:t>
              </m:r>
              <m:r>
                <m:t>s</m:t>
              </m:r>
              <m:r>
                <m:t>p</m:t>
              </m:r>
              <m:r>
                <m:t>e</m:t>
              </m:r>
              <m:r>
                <m:t>c</m:t>
              </m:r>
              <m:r>
                <m:t>t</m:t>
              </m:r>
              <m:r>
                <m:rPr>
                  <m:sty m:val="p"/>
                </m:rPr>
                <m:t>+</m:t>
              </m:r>
              <m:r>
                <m:t>S</m:t>
              </m:r>
              <m:r>
                <m:t>l</m:t>
              </m:r>
              <m:r>
                <m:t>o</m:t>
              </m:r>
              <m:r>
                <m:t>p</m:t>
              </m:r>
              <m:r>
                <m:t>e</m:t>
              </m:r>
              <m:r>
                <m:rPr>
                  <m:sty m:val="p"/>
                </m:rPr>
                <m:t>+</m:t>
              </m:r>
              <m:r>
                <m:t>G</m:t>
              </m:r>
              <m:r>
                <m:t>e</m:t>
              </m:r>
              <m:r>
                <m:t>o</m:t>
              </m:r>
              <m:r>
                <m:t>m</m:t>
              </m:r>
              <m:r>
                <m:t>o</m:t>
              </m:r>
              <m:r>
                <m:t>r</m:t>
              </m:r>
              <m:r>
                <m:t>p</m:t>
              </m:r>
              <m:r>
                <m:t>h</m:t>
              </m:r>
              <m:r>
                <m:t>o</m:t>
              </m:r>
              <m:r>
                <m:t>n</m:t>
              </m:r>
              <m:r>
                <m:rPr>
                  <m:sty m:val="p"/>
                </m:rPr>
                <m:t>+</m:t>
              </m:r>
              <m:r>
                <m:t>T</m:t>
              </m:r>
              <m:r>
                <m:t>P</m:t>
              </m:r>
              <m:r>
                <m:t>I</m:t>
              </m:r>
            </m:e>
          </m:d>
          <m:r>
            <m:t>  </m:t>
          </m:r>
          <m:d>
            <m:dPr>
              <m:begChr m:val="("/>
              <m:sepChr m:val=""/>
              <m:endChr m:val=")"/>
              <m:grow/>
            </m:dPr>
            <m:e>
              <m:r>
                <m:t>5</m:t>
              </m:r>
            </m:e>
          </m:d>
        </m:oMath>
      </m:oMathPara>
      <w:bookmarkEnd w:id="325"/>
    </w:p>
    <w:p>
      <w:r>
        <w:pict>
          <v:rect style="width:0;height:1.5pt" o:hralign="center" o:hrstd="t" o:hr="t"/>
        </w:pict>
      </w:r>
    </w:p>
    <w:p>
      <w:pPr>
        <w:pStyle w:val="FirstParagraph"/>
      </w:pPr>
      <w:bookmarkStart w:id="326" w:name="eq-TRMI2"/>
      <m:oMathPara>
        <m:oMathParaPr>
          <m:jc m:val="center"/>
        </m:oMathParaPr>
        <m:oMath>
          <m:r>
            <m:t>T</m:t>
          </m:r>
          <m:r>
            <m:t>R</m:t>
          </m:r>
          <m:r>
            <m:t>M</m:t>
          </m:r>
          <m:r>
            <m:t>I</m:t>
          </m:r>
          <m:r>
            <m:t>s</m:t>
          </m:r>
          <m:r>
            <m:t>c</m:t>
          </m:r>
          <m:r>
            <m:t>a</m:t>
          </m:r>
          <m:r>
            <m:t>l</m:t>
          </m:r>
          <m:r>
            <m:t>e</m:t>
          </m:r>
          <m:r>
            <m:t>d</m:t>
          </m:r>
          <m:r>
            <m:rPr>
              <m:sty m:val="p"/>
            </m:rPr>
            <m:t>=</m:t>
          </m:r>
          <m:f>
            <m:fPr>
              <m:type m:val="bar"/>
            </m:fPr>
            <m:num>
              <m:d>
                <m:dPr>
                  <m:begChr m:val="("/>
                  <m:sepChr m:val=""/>
                  <m:endChr m:val=")"/>
                  <m:grow/>
                </m:dPr>
                <m:e>
                  <m:r>
                    <m:t>T</m:t>
                  </m:r>
                  <m:r>
                    <m:t>R</m:t>
                  </m:r>
                  <m:r>
                    <m:t>M</m:t>
                  </m:r>
                  <m:r>
                    <m:t>I</m:t>
                  </m:r>
                  <m:r>
                    <m:rPr>
                      <m:sty m:val="p"/>
                    </m:rPr>
                    <m:t>−</m:t>
                  </m:r>
                  <m:r>
                    <m:t>3</m:t>
                  </m:r>
                </m:e>
              </m:d>
            </m:num>
            <m:den>
              <m:d>
                <m:dPr>
                  <m:begChr m:val="("/>
                  <m:sepChr m:val=""/>
                  <m:endChr m:val=")"/>
                  <m:grow/>
                </m:dPr>
                <m:e>
                  <m:d>
                    <m:dPr>
                      <m:begChr m:val="("/>
                      <m:sepChr m:val=""/>
                      <m:endChr m:val=")"/>
                      <m:grow/>
                    </m:dPr>
                    <m:e>
                      <m:r>
                        <m:t>60</m:t>
                      </m:r>
                      <m:r>
                        <m:rPr>
                          <m:sty m:val="p"/>
                        </m:rPr>
                        <m:t>−</m:t>
                      </m:r>
                      <m:r>
                        <m:t>3</m:t>
                      </m:r>
                    </m:e>
                  </m:d>
                  <m:r>
                    <m:rPr>
                      <m:sty m:val="p"/>
                    </m:rPr>
                    <m:t>*</m:t>
                  </m:r>
                  <m:r>
                    <m:t>9</m:t>
                  </m:r>
                </m:e>
              </m:d>
            </m:den>
          </m:f>
          <m:r>
            <m:t>  </m:t>
          </m:r>
          <m:d>
            <m:dPr>
              <m:begChr m:val="("/>
              <m:sepChr m:val=""/>
              <m:endChr m:val=")"/>
              <m:grow/>
            </m:dPr>
            <m:e>
              <m:r>
                <m:t>6</m:t>
              </m:r>
            </m:e>
          </m:d>
        </m:oMath>
      </m:oMathPara>
      <w:bookmarkEnd w:id="326"/>
    </w:p>
    <w:bookmarkEnd w:id="327"/>
    <w:bookmarkStart w:id="343" w:name="sbii"/>
    <w:p>
      <w:pPr>
        <w:pStyle w:val="Heading3"/>
      </w:pPr>
      <w:r>
        <w:t xml:space="preserve">8.2.3 SbII</w:t>
      </w:r>
    </w:p>
    <w:tbl>
      <w:tblPr>
        <w:tblStyle w:val="Table"/>
        <w:tblW w:type="pct" w:w="5000"/>
        <w:tblLayout w:type="fixed"/>
        <w:tblLook w:firstRow="0" w:lastRow="0" w:firstColumn="0" w:lastColumn="0" w:noHBand="0" w:noVBand="0" w:val="0000"/>
      </w:tblPr>
      <w:tblGrid>
        <w:gridCol w:w="7920"/>
      </w:tblGrid>
      <w:tr>
        <w:tc>
          <w:tcPr/>
          <w:bookmarkStart w:id="331" w:name="fig-sankey-sbii"/>
          <w:p>
            <w:pPr>
              <w:pStyle w:val="Compact"/>
              <w:jc w:val="center"/>
            </w:pPr>
            <w:r>
              <w:drawing>
                <wp:inline>
                  <wp:extent cx="5334000" cy="3733800"/>
                  <wp:effectExtent b="0" l="0" r="0" t="0"/>
                  <wp:docPr descr="" title="" id="329" name="Picture"/>
                  <a:graphic>
                    <a:graphicData uri="http://schemas.openxmlformats.org/drawingml/2006/picture">
                      <pic:pic>
                        <pic:nvPicPr>
                          <pic:cNvPr descr="images/fig-sankey-sbii.png" id="330" name="Picture"/>
                          <pic:cNvPicPr>
                            <a:picLocks noChangeArrowheads="1" noChangeAspect="1"/>
                          </pic:cNvPicPr>
                        </pic:nvPicPr>
                        <pic:blipFill>
                          <a:blip r:embed="rId328"/>
                          <a:stretch>
                            <a:fillRect/>
                          </a:stretch>
                        </pic:blipFill>
                        <pic:spPr bwMode="auto">
                          <a:xfrm>
                            <a:off x="0" y="0"/>
                            <a:ext cx="5334000" cy="3733800"/>
                          </a:xfrm>
                          <a:prstGeom prst="rect">
                            <a:avLst/>
                          </a:prstGeom>
                          <a:noFill/>
                          <a:ln w="9525">
                            <a:noFill/>
                            <a:headEnd/>
                            <a:tailEnd/>
                          </a:ln>
                        </pic:spPr>
                      </pic:pic>
                    </a:graphicData>
                  </a:graphic>
                </wp:inline>
              </w:drawing>
            </w:r>
          </w:p>
          <w:p>
            <w:pPr>
              <w:jc w:val="center"/>
            </w:pPr>
            <w:pPr>
              <w:jc w:val="start"/>
              <w:spacing w:before="200"/>
              <w:pStyle w:val="ImageCaption"/>
            </w:pPr>
            <w:r>
              <w:t xml:space="preserve">Figure 14: Sankey diagram showing the relative contributions of permeability, porosity, lineament density, and lithology (potential for karst/pseudo-karst).</w:t>
            </w:r>
          </w:p>
          <w:bookmarkEnd w:id="331"/>
        </w:tc>
      </w:tr>
    </w:tbl>
    <w:p>
      <w:r>
        <w:pict>
          <v:rect style="width:0;height:1.5pt" o:hralign="center" o:hrstd="t" o:hr="t"/>
        </w:pict>
      </w:r>
    </w:p>
    <w:tbl>
      <w:tblPr>
        <w:tblStyle w:val="Table"/>
        <w:tblW w:type="pct" w:w="5000"/>
        <w:tblLayout w:type="fixed"/>
        <w:tblLook w:firstRow="0" w:lastRow="0" w:firstColumn="0" w:lastColumn="0" w:noHBand="0" w:noVBand="0" w:val="0000"/>
      </w:tblPr>
      <w:tblGrid>
        <w:gridCol w:w="7920"/>
      </w:tblGrid>
      <w:tr>
        <w:tc>
          <w:tcPr/>
          <w:bookmarkStart w:id="332" w:name="tbl-glhymps"/>
          <w:p>
            <w:pPr>
              <w:jc w:val="center"/>
            </w:pPr>
            <w:pPr>
              <w:jc w:val="start"/>
              <w:spacing w:before="200"/>
              <w:pStyle w:val="ImageCaption"/>
            </w:pPr>
            <w:r>
              <w:t xml:space="preserve">Table 6: Classification and re-scaling of GLHYMPS v2 data for suitability mapping</w:t>
            </w:r>
          </w:p>
          <w:tbl>
            <w:tblPr>
              <w:tblStyle w:val="Table"/>
              <w:tblW w:type="pct" w:w="5000"/>
              <w:tblLayout w:type="fixed"/>
              <w:tblLook w:firstRow="1" w:lastRow="0" w:firstColumn="0" w:lastColumn="0" w:noHBand="0" w:noVBand="0" w:val="0020"/>
            </w:tblPr>
            <w:tblGrid>
              <w:gridCol w:w="1980"/>
              <w:gridCol w:w="1980"/>
              <w:gridCol w:w="1980"/>
              <w:gridCol w:w="1980"/>
            </w:tblGrid>
            <w:tr>
              <w:trPr>
                <w:tblHeader w:val="on"/>
              </w:trPr>
              <w:tc>
                <w:tcPr/>
                <w:p>
                  <w:pPr>
                    <w:pStyle w:val="Compact"/>
                    <w:jc w:val="center"/>
                  </w:pPr>
                  <w:r>
                    <w:t xml:space="preserve">LogK x 100 (Permeability)</w:t>
                  </w:r>
                </w:p>
              </w:tc>
              <w:tc>
                <w:tcPr/>
                <w:p>
                  <w:pPr>
                    <w:pStyle w:val="Compact"/>
                    <w:jc w:val="center"/>
                  </w:pPr>
                  <w:r>
                    <w:t xml:space="preserve">Scaled Permeability (sPm)</w:t>
                  </w:r>
                </w:p>
              </w:tc>
              <w:tc>
                <w:tcPr/>
                <w:p>
                  <w:pPr>
                    <w:pStyle w:val="Compact"/>
                    <w:jc w:val="center"/>
                  </w:pPr>
                  <w:r>
                    <w:t xml:space="preserve">Porosity x 100 (%)</w:t>
                  </w:r>
                </w:p>
              </w:tc>
              <w:tc>
                <w:tcPr/>
                <w:p>
                  <w:pPr>
                    <w:pStyle w:val="Compact"/>
                    <w:jc w:val="center"/>
                  </w:pPr>
                  <w:r>
                    <w:t xml:space="preserve">Scaled Porosity (sPo)</w:t>
                  </w:r>
                </w:p>
              </w:tc>
            </w:tr>
            <w:tr>
              <w:tc>
                <w:tcPr/>
                <w:p>
                  <w:pPr>
                    <w:pStyle w:val="Compact"/>
                    <w:jc w:val="center"/>
                  </w:pPr>
                  <w:r>
                    <w:t xml:space="preserve">-1650 to -1595</w:t>
                  </w:r>
                </w:p>
              </w:tc>
              <w:tc>
                <w:tcPr/>
                <w:p>
                  <w:pPr>
                    <w:pStyle w:val="Compact"/>
                    <w:jc w:val="center"/>
                  </w:pPr>
                  <w:r>
                    <w:t xml:space="preserve">1</w:t>
                  </w:r>
                </w:p>
              </w:tc>
              <w:tc>
                <w:tcPr/>
                <w:p>
                  <w:pPr>
                    <w:pStyle w:val="Compact"/>
                    <w:jc w:val="center"/>
                  </w:pPr>
                  <w:r>
                    <w:t xml:space="preserve">0 - 2</w:t>
                  </w:r>
                </w:p>
              </w:tc>
              <w:tc>
                <w:tcPr/>
                <w:p>
                  <w:pPr>
                    <w:pStyle w:val="Compact"/>
                    <w:jc w:val="center"/>
                  </w:pPr>
                  <w:r>
                    <w:t xml:space="preserve">1</w:t>
                  </w:r>
                </w:p>
              </w:tc>
            </w:tr>
            <w:tr>
              <w:tc>
                <w:tcPr/>
                <w:p>
                  <w:pPr>
                    <w:pStyle w:val="Compact"/>
                    <w:jc w:val="center"/>
                  </w:pPr>
                  <w:r>
                    <w:t xml:space="preserve">-1595 to -1540</w:t>
                  </w:r>
                </w:p>
              </w:tc>
              <w:tc>
                <w:tcPr/>
                <w:p>
                  <w:pPr>
                    <w:pStyle w:val="Compact"/>
                    <w:jc w:val="center"/>
                  </w:pPr>
                  <w:r>
                    <w:t xml:space="preserve">2</w:t>
                  </w:r>
                </w:p>
              </w:tc>
              <w:tc>
                <w:tcPr/>
                <w:p>
                  <w:pPr>
                    <w:pStyle w:val="Compact"/>
                    <w:jc w:val="center"/>
                  </w:pPr>
                  <w:r>
                    <w:t xml:space="preserve">2 - 5</w:t>
                  </w:r>
                </w:p>
              </w:tc>
              <w:tc>
                <w:tcPr/>
                <w:p>
                  <w:pPr>
                    <w:pStyle w:val="Compact"/>
                    <w:jc w:val="center"/>
                  </w:pPr>
                  <w:r>
                    <w:t xml:space="preserve">2</w:t>
                  </w:r>
                </w:p>
              </w:tc>
            </w:tr>
            <w:tr>
              <w:tc>
                <w:tcPr/>
                <w:p>
                  <w:pPr>
                    <w:pStyle w:val="Compact"/>
                    <w:jc w:val="center"/>
                  </w:pPr>
                  <w:r>
                    <w:t xml:space="preserve">-1540 to -1485</w:t>
                  </w:r>
                </w:p>
              </w:tc>
              <w:tc>
                <w:tcPr/>
                <w:p>
                  <w:pPr>
                    <w:pStyle w:val="Compact"/>
                    <w:jc w:val="center"/>
                  </w:pPr>
                  <w:r>
                    <w:t xml:space="preserve">3</w:t>
                  </w:r>
                </w:p>
              </w:tc>
              <w:tc>
                <w:tcPr/>
                <w:p>
                  <w:pPr>
                    <w:pStyle w:val="Compact"/>
                    <w:jc w:val="center"/>
                  </w:pPr>
                  <w:r>
                    <w:t xml:space="preserve">5 - 8</w:t>
                  </w:r>
                </w:p>
              </w:tc>
              <w:tc>
                <w:tcPr/>
                <w:p>
                  <w:pPr>
                    <w:pStyle w:val="Compact"/>
                    <w:jc w:val="center"/>
                  </w:pPr>
                  <w:r>
                    <w:t xml:space="preserve">3</w:t>
                  </w:r>
                </w:p>
              </w:tc>
            </w:tr>
            <w:tr>
              <w:tc>
                <w:tcPr/>
                <w:p>
                  <w:pPr>
                    <w:pStyle w:val="Compact"/>
                    <w:jc w:val="center"/>
                  </w:pPr>
                  <w:r>
                    <w:t xml:space="preserve">-1485 to -1430</w:t>
                  </w:r>
                </w:p>
              </w:tc>
              <w:tc>
                <w:tcPr/>
                <w:p>
                  <w:pPr>
                    <w:pStyle w:val="Compact"/>
                    <w:jc w:val="center"/>
                  </w:pPr>
                  <w:r>
                    <w:t xml:space="preserve">4</w:t>
                  </w:r>
                </w:p>
              </w:tc>
              <w:tc>
                <w:tcPr/>
                <w:p>
                  <w:pPr>
                    <w:pStyle w:val="Compact"/>
                    <w:jc w:val="center"/>
                  </w:pPr>
                  <w:r>
                    <w:t xml:space="preserve">8 - 10</w:t>
                  </w:r>
                </w:p>
              </w:tc>
              <w:tc>
                <w:tcPr/>
                <w:p>
                  <w:pPr>
                    <w:pStyle w:val="Compact"/>
                    <w:jc w:val="center"/>
                  </w:pPr>
                  <w:r>
                    <w:t xml:space="preserve">4</w:t>
                  </w:r>
                </w:p>
              </w:tc>
            </w:tr>
            <w:tr>
              <w:tc>
                <w:tcPr/>
                <w:p>
                  <w:pPr>
                    <w:pStyle w:val="Compact"/>
                    <w:jc w:val="center"/>
                  </w:pPr>
                  <w:r>
                    <w:t xml:space="preserve">-1430 to -1375</w:t>
                  </w:r>
                </w:p>
              </w:tc>
              <w:tc>
                <w:tcPr/>
                <w:p>
                  <w:pPr>
                    <w:pStyle w:val="Compact"/>
                    <w:jc w:val="center"/>
                  </w:pPr>
                  <w:r>
                    <w:t xml:space="preserve">5</w:t>
                  </w:r>
                </w:p>
              </w:tc>
              <w:tc>
                <w:tcPr/>
                <w:p>
                  <w:pPr>
                    <w:pStyle w:val="Compact"/>
                    <w:jc w:val="center"/>
                  </w:pPr>
                  <w:r>
                    <w:t xml:space="preserve">10 - 13</w:t>
                  </w:r>
                </w:p>
              </w:tc>
              <w:tc>
                <w:tcPr/>
                <w:p>
                  <w:pPr>
                    <w:pStyle w:val="Compact"/>
                    <w:jc w:val="center"/>
                  </w:pPr>
                  <w:r>
                    <w:t xml:space="preserve">5</w:t>
                  </w:r>
                </w:p>
              </w:tc>
            </w:tr>
            <w:tr>
              <w:tc>
                <w:tcPr/>
                <w:p>
                  <w:pPr>
                    <w:pStyle w:val="Compact"/>
                    <w:jc w:val="center"/>
                  </w:pPr>
                  <w:r>
                    <w:t xml:space="preserve">-1375 to -1320</w:t>
                  </w:r>
                </w:p>
              </w:tc>
              <w:tc>
                <w:tcPr/>
                <w:p>
                  <w:pPr>
                    <w:pStyle w:val="Compact"/>
                    <w:jc w:val="center"/>
                  </w:pPr>
                  <w:r>
                    <w:t xml:space="preserve">6</w:t>
                  </w:r>
                </w:p>
              </w:tc>
              <w:tc>
                <w:tcPr/>
                <w:p>
                  <w:pPr>
                    <w:pStyle w:val="Compact"/>
                    <w:jc w:val="center"/>
                  </w:pPr>
                  <w:r>
                    <w:t xml:space="preserve">13 - 17</w:t>
                  </w:r>
                </w:p>
              </w:tc>
              <w:tc>
                <w:tcPr/>
                <w:p>
                  <w:pPr>
                    <w:pStyle w:val="Compact"/>
                    <w:jc w:val="center"/>
                  </w:pPr>
                  <w:r>
                    <w:t xml:space="preserve">6</w:t>
                  </w:r>
                </w:p>
              </w:tc>
            </w:tr>
            <w:tr>
              <w:tc>
                <w:tcPr/>
                <w:p>
                  <w:pPr>
                    <w:pStyle w:val="Compact"/>
                    <w:jc w:val="center"/>
                  </w:pPr>
                  <w:r>
                    <w:t xml:space="preserve">-1320 to -1265</w:t>
                  </w:r>
                </w:p>
              </w:tc>
              <w:tc>
                <w:tcPr/>
                <w:p>
                  <w:pPr>
                    <w:pStyle w:val="Compact"/>
                    <w:jc w:val="center"/>
                  </w:pPr>
                  <w:r>
                    <w:t xml:space="preserve">7</w:t>
                  </w:r>
                </w:p>
              </w:tc>
              <w:tc>
                <w:tcPr/>
                <w:p>
                  <w:pPr>
                    <w:pStyle w:val="Compact"/>
                    <w:jc w:val="center"/>
                  </w:pPr>
                  <w:r>
                    <w:t xml:space="preserve">17 - 21</w:t>
                  </w:r>
                </w:p>
              </w:tc>
              <w:tc>
                <w:tcPr/>
                <w:p>
                  <w:pPr>
                    <w:pStyle w:val="Compact"/>
                    <w:jc w:val="center"/>
                  </w:pPr>
                  <w:r>
                    <w:t xml:space="preserve">7</w:t>
                  </w:r>
                </w:p>
              </w:tc>
            </w:tr>
            <w:tr>
              <w:tc>
                <w:tcPr/>
                <w:p>
                  <w:pPr>
                    <w:pStyle w:val="Compact"/>
                    <w:jc w:val="center"/>
                  </w:pPr>
                  <w:r>
                    <w:t xml:space="preserve">-1265 to -1210</w:t>
                  </w:r>
                </w:p>
              </w:tc>
              <w:tc>
                <w:tcPr/>
                <w:p>
                  <w:pPr>
                    <w:pStyle w:val="Compact"/>
                    <w:jc w:val="center"/>
                  </w:pPr>
                  <w:r>
                    <w:t xml:space="preserve">8</w:t>
                  </w:r>
                </w:p>
              </w:tc>
              <w:tc>
                <w:tcPr/>
                <w:p>
                  <w:pPr>
                    <w:pStyle w:val="Compact"/>
                    <w:jc w:val="center"/>
                  </w:pPr>
                  <w:r>
                    <w:t xml:space="preserve">21 - 24</w:t>
                  </w:r>
                </w:p>
              </w:tc>
              <w:tc>
                <w:tcPr/>
                <w:p>
                  <w:pPr>
                    <w:pStyle w:val="Compact"/>
                    <w:jc w:val="center"/>
                  </w:pPr>
                  <w:r>
                    <w:t xml:space="preserve">8</w:t>
                  </w:r>
                </w:p>
              </w:tc>
            </w:tr>
            <w:tr>
              <w:tc>
                <w:tcPr/>
                <w:p>
                  <w:pPr>
                    <w:pStyle w:val="Compact"/>
                    <w:jc w:val="center"/>
                  </w:pPr>
                  <w:r>
                    <w:t xml:space="preserve">-1210 to -1155</w:t>
                  </w:r>
                </w:p>
              </w:tc>
              <w:tc>
                <w:tcPr/>
                <w:p>
                  <w:pPr>
                    <w:pStyle w:val="Compact"/>
                    <w:jc w:val="center"/>
                  </w:pPr>
                  <w:r>
                    <w:t xml:space="preserve">9</w:t>
                  </w:r>
                </w:p>
              </w:tc>
              <w:tc>
                <w:tcPr/>
                <w:p>
                  <w:pPr>
                    <w:pStyle w:val="Compact"/>
                    <w:jc w:val="center"/>
                  </w:pPr>
                  <w:r>
                    <w:t xml:space="preserve">24 - 26</w:t>
                  </w:r>
                </w:p>
              </w:tc>
              <w:tc>
                <w:tcPr/>
                <w:p>
                  <w:pPr>
                    <w:pStyle w:val="Compact"/>
                    <w:jc w:val="center"/>
                  </w:pPr>
                  <w:r>
                    <w:t xml:space="preserve">9</w:t>
                  </w:r>
                </w:p>
              </w:tc>
            </w:tr>
            <w:tr>
              <w:tc>
                <w:tcPr/>
                <w:p>
                  <w:pPr>
                    <w:pStyle w:val="Compact"/>
                    <w:jc w:val="center"/>
                  </w:pPr>
                  <w:r>
                    <w:t xml:space="preserve">-1155 to -1052</w:t>
                  </w:r>
                </w:p>
              </w:tc>
              <w:tc>
                <w:tcPr/>
                <w:p>
                  <w:pPr>
                    <w:pStyle w:val="Compact"/>
                    <w:jc w:val="center"/>
                  </w:pPr>
                  <w:r>
                    <w:t xml:space="preserve">10</w:t>
                  </w:r>
                </w:p>
              </w:tc>
              <w:tc>
                <w:tcPr/>
                <w:p>
                  <w:pPr>
                    <w:pStyle w:val="Compact"/>
                    <w:jc w:val="center"/>
                  </w:pPr>
                  <w:r>
                    <w:t xml:space="preserve">26 - 28</w:t>
                  </w:r>
                </w:p>
              </w:tc>
              <w:tc>
                <w:tcPr/>
                <w:p>
                  <w:pPr>
                    <w:pStyle w:val="Compact"/>
                    <w:jc w:val="center"/>
                  </w:pPr>
                  <w:r>
                    <w:t xml:space="preserve">10</w:t>
                  </w:r>
                </w:p>
              </w:tc>
            </w:tr>
          </w:tbl>
          <w:bookmarkEnd w:id="332"/>
          <w:p/>
        </w:tc>
      </w:tr>
    </w:tbl>
    <w:p>
      <w:r>
        <w:pict>
          <v:rect style="width:0;height:1.5pt" o:hralign="center" o:hrstd="t" o:hr="t"/>
        </w:pict>
      </w:r>
    </w:p>
    <w:tbl>
      <w:tblPr>
        <w:tblStyle w:val="Table"/>
        <w:tblW w:type="pct" w:w="5000"/>
        <w:tblLayout w:type="fixed"/>
        <w:tblLook w:firstRow="0" w:lastRow="0" w:firstColumn="0" w:lastColumn="0" w:noHBand="0" w:noVBand="0" w:val="0000"/>
      </w:tblPr>
      <w:tblGrid>
        <w:gridCol w:w="7920"/>
      </w:tblGrid>
      <w:tr>
        <w:tc>
          <w:tcPr/>
          <w:bookmarkStart w:id="336" w:name="fig-sankey-trmi"/>
          <w:p>
            <w:pPr>
              <w:pStyle w:val="Compact"/>
              <w:jc w:val="center"/>
            </w:pPr>
            <w:r>
              <w:drawing>
                <wp:inline>
                  <wp:extent cx="5334000" cy="3733800"/>
                  <wp:effectExtent b="0" l="0" r="0" t="0"/>
                  <wp:docPr descr="" title="" id="334" name="Picture"/>
                  <a:graphic>
                    <a:graphicData uri="http://schemas.openxmlformats.org/drawingml/2006/picture">
                      <pic:pic>
                        <pic:nvPicPr>
                          <pic:cNvPr descr="images/fig-sankey-trmi.png" id="335" name="Picture"/>
                          <pic:cNvPicPr>
                            <a:picLocks noChangeArrowheads="1" noChangeAspect="1"/>
                          </pic:cNvPicPr>
                        </pic:nvPicPr>
                        <pic:blipFill>
                          <a:blip r:embed="rId333"/>
                          <a:stretch>
                            <a:fillRect/>
                          </a:stretch>
                        </pic:blipFill>
                        <pic:spPr bwMode="auto">
                          <a:xfrm>
                            <a:off x="0" y="0"/>
                            <a:ext cx="5334000" cy="3733800"/>
                          </a:xfrm>
                          <a:prstGeom prst="rect">
                            <a:avLst/>
                          </a:prstGeom>
                          <a:noFill/>
                          <a:ln w="9525">
                            <a:noFill/>
                            <a:headEnd/>
                            <a:tailEnd/>
                          </a:ln>
                        </pic:spPr>
                      </pic:pic>
                    </a:graphicData>
                  </a:graphic>
                </wp:inline>
              </w:drawing>
            </w:r>
          </w:p>
          <w:p>
            <w:pPr>
              <w:jc w:val="center"/>
            </w:pPr>
            <w:pPr>
              <w:jc w:val="start"/>
              <w:spacing w:before="200"/>
              <w:pStyle w:val="ImageCaption"/>
            </w:pPr>
            <w:r>
              <w:t xml:space="preserve">Figure 15: Topographic Relative Moisture Index (TRMI) is sum of scaled values representing site moisture potential using aspect, topographic position, geomorphon, and slope,</w:t>
            </w:r>
            <w:r>
              <w:t xml:space="preserve"> </w:t>
            </w:r>
            <w:r>
              <w:t xml:space="preserve">A. J. Parker (1982)</w:t>
            </w:r>
          </w:p>
          <w:bookmarkEnd w:id="336"/>
        </w:tc>
      </w:tr>
    </w:tbl>
    <w:p>
      <w:r>
        <w:pict>
          <v:rect style="width:0;height:1.5pt" o:hralign="center" o:hrstd="t" o:hr="t"/>
        </w:pict>
      </w:r>
    </w:p>
    <w:bookmarkStart w:id="342" w:name="ld"/>
    <w:p>
      <w:pPr>
        <w:pStyle w:val="Heading4"/>
      </w:pPr>
      <w:r>
        <w:t xml:space="preserve">8.2.3.1 LD</w:t>
      </w:r>
    </w:p>
    <w:p>
      <w:pPr>
        <w:pStyle w:val="FirstParagraph"/>
      </w:pPr>
      <w:r>
        <w:t xml:space="preserve">Lineaments were extracted from U.S. Geologic Survey, 2019 3D Elevation Program 1-arc-second tiles using a combination of methods. First, topographic position index (TPI) which estimates neighborhood convexity and concavity was calculated using a circular neighborhood with a radius of 5</w:t>
      </w:r>
      <w:r>
        <w:rPr>
          <w:i/>
          <w:iCs/>
        </w:rPr>
        <w:t xml:space="preserve">m</w:t>
      </w:r>
      <w:r>
        <w:t xml:space="preserve"> </w:t>
      </w:r>
      <w:r>
        <w:t xml:space="preserve">The TPI layer was then rendered as a multi-directional hillshade and exported from ArcGIS to Catalyst 3.0.2, where the LINE module was used to detect edges and link lines</w:t>
      </w:r>
      <w:r>
        <w:t xml:space="preserve"> </w:t>
      </w:r>
      <w:r>
        <w:t xml:space="preserve">(Salui 2018)</w:t>
      </w:r>
      <w:r>
        <w:t xml:space="preserve">. The default parameters for the LINE function were used (</w:t>
      </w:r>
      <w:hyperlink w:anchor="tbl-line">
        <w:r>
          <w:rPr>
            <w:rStyle w:val="Hyperlink"/>
          </w:rPr>
          <w:t xml:space="preserve">Table 7</w:t>
        </w:r>
      </w:hyperlink>
      <w:r>
        <w:t xml:space="preserve">), and the resulting lineaments were brought back into ArcGIS and cleaned to remove any edge effects. A second lineament analysis was conducted as with the TPI, using a standard deviation focal statistic of elevation with a 5</w:t>
      </w:r>
      <w:r>
        <w:t xml:space="preserve"> </w:t>
      </w:r>
      <w:r>
        <w:rPr>
          <w:i/>
          <w:iCs/>
        </w:rPr>
        <w:t xml:space="preserve">m</w:t>
      </w:r>
      <w:r>
        <w:t xml:space="preserve"> </w:t>
      </w:r>
      <w:r>
        <w:t xml:space="preserve">radius. This raster was also rendered, exported, and processed as before. These two rasters provided complementary sets of combined lineaments. Due to the resolution and parameters chose, man-made lineaments (roads, railways, and power-lines) were not primarily delineated by the algorithm in either analysis; however buffers around roads were randomly sampled and spot-checked to ensure man-made lineaments were not included.</w:t>
      </w:r>
    </w:p>
    <w:tbl>
      <w:tblPr>
        <w:tblStyle w:val="Table"/>
        <w:tblW w:type="pct" w:w="5000"/>
        <w:tblLayout w:type="fixed"/>
        <w:tblLook w:firstRow="0" w:lastRow="0" w:firstColumn="0" w:lastColumn="0" w:noHBand="0" w:noVBand="0" w:val="0000"/>
      </w:tblPr>
      <w:tblGrid>
        <w:gridCol w:w="7920"/>
      </w:tblGrid>
      <w:tr>
        <w:tc>
          <w:tcPr/>
          <w:bookmarkStart w:id="340" w:name="fig-ld"/>
          <w:p>
            <w:pPr>
              <w:pStyle w:val="Compact"/>
              <w:jc w:val="center"/>
            </w:pPr>
            <w:r>
              <w:drawing>
                <wp:inline>
                  <wp:extent cx="5334000" cy="2667000"/>
                  <wp:effectExtent b="0" l="0" r="0" t="0"/>
                  <wp:docPr descr="" title="" id="338" name="Picture"/>
                  <a:graphic>
                    <a:graphicData uri="http://schemas.openxmlformats.org/drawingml/2006/picture">
                      <pic:pic>
                        <pic:nvPicPr>
                          <pic:cNvPr descr="images/fig-lineaments.jpg" id="339" name="Picture"/>
                          <pic:cNvPicPr>
                            <a:picLocks noChangeArrowheads="1" noChangeAspect="1"/>
                          </pic:cNvPicPr>
                        </pic:nvPicPr>
                        <pic:blipFill>
                          <a:blip r:embed="rId337"/>
                          <a:stretch>
                            <a:fillRect/>
                          </a:stretch>
                        </pic:blipFill>
                        <pic:spPr bwMode="auto">
                          <a:xfrm>
                            <a:off x="0" y="0"/>
                            <a:ext cx="5334000" cy="2667000"/>
                          </a:xfrm>
                          <a:prstGeom prst="rect">
                            <a:avLst/>
                          </a:prstGeom>
                          <a:noFill/>
                          <a:ln w="9525">
                            <a:noFill/>
                            <a:headEnd/>
                            <a:tailEnd/>
                          </a:ln>
                        </pic:spPr>
                      </pic:pic>
                    </a:graphicData>
                  </a:graphic>
                </wp:inline>
              </w:drawing>
            </w:r>
          </w:p>
          <w:p>
            <w:pPr>
              <w:jc w:val="center"/>
            </w:pPr>
            <w:pPr>
              <w:jc w:val="start"/>
              <w:spacing w:before="200"/>
              <w:pStyle w:val="ImageCaption"/>
            </w:pPr>
            <w:r>
              <w:t xml:space="preserve">Figure 16: Lineaments (left) and Lineament Density on the right.</w:t>
            </w:r>
          </w:p>
          <w:bookmarkEnd w:id="340"/>
        </w:tc>
      </w:tr>
    </w:tbl>
    <w:p>
      <w:pPr>
        <w:pStyle w:val="BodyText"/>
      </w:pPr>
      <w:r>
        <w:t xml:space="preserve"> </w:t>
      </w:r>
    </w:p>
    <w:tbl>
      <w:tblPr>
        <w:tblStyle w:val="Table"/>
        <w:tblW w:type="pct" w:w="5000"/>
        <w:tblLayout w:type="fixed"/>
        <w:tblLook w:firstRow="0" w:lastRow="0" w:firstColumn="0" w:lastColumn="0" w:noHBand="0" w:noVBand="0" w:val="0000"/>
      </w:tblPr>
      <w:tblGrid>
        <w:gridCol w:w="7920"/>
      </w:tblGrid>
      <w:tr>
        <w:tc>
          <w:tcPr/>
          <w:bookmarkStart w:id="341" w:name="tbl-line"/>
          <w:p>
            <w:pPr>
              <w:jc w:val="center"/>
            </w:pPr>
            <w:pPr>
              <w:jc w:val="start"/>
              <w:spacing w:before="200"/>
              <w:pStyle w:val="ImageCaption"/>
            </w:pPr>
            <w:r>
              <w:t xml:space="preserve">Table 7: Default parameters values used to detect lineaments from the TPI and SD rasters with the LINE module of Catalyst 3.0.2. Column one shows the parameter abbreviations commonly used in the literature. Column two describes the parameters. Column three describes the units each parameter utilizes, column four shows the default values, and column five is the linear distance that the default values translate to when using a 30x30 m raster.</w:t>
            </w:r>
          </w:p>
          <w:tbl>
            <w:tblPr>
              <w:tblStyle w:val="Table"/>
              <w:tblW w:type="pct" w:w="5000"/>
              <w:tblLayout w:type="fixed"/>
              <w:tblLook w:firstRow="1" w:lastRow="0" w:firstColumn="0" w:lastColumn="0" w:noHBand="0" w:noVBand="0" w:val="0020"/>
            </w:tblPr>
            <w:tblGrid>
              <w:gridCol w:w="1584"/>
              <w:gridCol w:w="1584"/>
              <w:gridCol w:w="1584"/>
              <w:gridCol w:w="1584"/>
              <w:gridCol w:w="1584"/>
            </w:tblGrid>
            <w:tr>
              <w:trPr>
                <w:tblHeader w:val="on"/>
              </w:trPr>
              <w:tc>
                <w:tcPr/>
                <w:p>
                  <w:pPr>
                    <w:pStyle w:val="Compact"/>
                    <w:jc w:val="center"/>
                  </w:pPr>
                  <w:r>
                    <w:t xml:space="preserve">Parameters</w:t>
                  </w:r>
                </w:p>
              </w:tc>
              <w:tc>
                <w:tcPr/>
                <w:p>
                  <w:pPr>
                    <w:pStyle w:val="Compact"/>
                    <w:jc w:val="center"/>
                  </w:pPr>
                  <w:r>
                    <w:t xml:space="preserve">Description</w:t>
                  </w:r>
                </w:p>
              </w:tc>
              <w:tc>
                <w:tcPr/>
                <w:p>
                  <w:pPr>
                    <w:pStyle w:val="Compact"/>
                    <w:jc w:val="center"/>
                  </w:pPr>
                  <w:r>
                    <w:t xml:space="preserve">Units</w:t>
                  </w:r>
                </w:p>
              </w:tc>
              <w:tc>
                <w:tcPr/>
                <w:p>
                  <w:pPr>
                    <w:pStyle w:val="Compact"/>
                    <w:jc w:val="center"/>
                  </w:pPr>
                  <w:r>
                    <w:t xml:space="preserve">Default Values</w:t>
                  </w:r>
                </w:p>
              </w:tc>
              <w:tc>
                <w:tcPr/>
                <w:p>
                  <w:pPr>
                    <w:pStyle w:val="Compact"/>
                    <w:jc w:val="center"/>
                  </w:pPr>
                  <w:r>
                    <w:t xml:space="preserve">Distance (m)</w:t>
                  </w:r>
                </w:p>
              </w:tc>
            </w:tr>
            <w:tr>
              <w:tc>
                <w:tcPr/>
                <w:p>
                  <w:pPr>
                    <w:pStyle w:val="Compact"/>
                    <w:jc w:val="center"/>
                  </w:pPr>
                  <w:r>
                    <w:t xml:space="preserve">RADI</w:t>
                  </w:r>
                </w:p>
              </w:tc>
              <w:tc>
                <w:tcPr/>
                <w:p>
                  <w:pPr>
                    <w:pStyle w:val="Compact"/>
                    <w:jc w:val="center"/>
                  </w:pPr>
                  <w:r>
                    <w:t xml:space="preserve">filter radius</w:t>
                  </w:r>
                </w:p>
              </w:tc>
              <w:tc>
                <w:tcPr/>
                <w:p>
                  <w:pPr>
                    <w:pStyle w:val="Compact"/>
                    <w:jc w:val="center"/>
                  </w:pPr>
                  <w:r>
                    <w:t xml:space="preserve">Pixels (30m)</w:t>
                  </w:r>
                </w:p>
              </w:tc>
              <w:tc>
                <w:tcPr/>
                <w:p>
                  <w:pPr>
                    <w:pStyle w:val="Compact"/>
                    <w:jc w:val="center"/>
                  </w:pPr>
                  <w:r>
                    <w:t xml:space="preserve">10</w:t>
                  </w:r>
                </w:p>
              </w:tc>
              <w:tc>
                <w:tcPr/>
                <w:p>
                  <w:pPr>
                    <w:pStyle w:val="Compact"/>
                    <w:jc w:val="center"/>
                  </w:pPr>
                  <w:r>
                    <w:t xml:space="preserve">300</w:t>
                  </w:r>
                </w:p>
              </w:tc>
            </w:tr>
            <w:tr>
              <w:tc>
                <w:tcPr/>
                <w:p>
                  <w:pPr>
                    <w:pStyle w:val="Compact"/>
                    <w:jc w:val="center"/>
                  </w:pPr>
                  <w:r>
                    <w:t xml:space="preserve">GTHR</w:t>
                  </w:r>
                </w:p>
              </w:tc>
              <w:tc>
                <w:tcPr/>
                <w:p>
                  <w:pPr>
                    <w:pStyle w:val="Compact"/>
                    <w:jc w:val="center"/>
                  </w:pPr>
                  <w:r>
                    <w:t xml:space="preserve">edge gradient threshold</w:t>
                  </w:r>
                </w:p>
              </w:tc>
              <w:tc>
                <w:tcPr/>
                <w:p>
                  <w:pPr>
                    <w:pStyle w:val="Compact"/>
                    <w:jc w:val="center"/>
                  </w:pPr>
                  <w:r>
                    <w:t xml:space="preserve">Luminance (0-255)</w:t>
                  </w:r>
                </w:p>
              </w:tc>
              <w:tc>
                <w:tcPr/>
                <w:p>
                  <w:pPr>
                    <w:pStyle w:val="Compact"/>
                    <w:jc w:val="center"/>
                  </w:pPr>
                  <w:r>
                    <w:t xml:space="preserve">100</w:t>
                  </w:r>
                </w:p>
              </w:tc>
              <w:tc>
                <w:tcPr/>
                <w:p>
                  <w:pPr>
                    <w:pStyle w:val="Compact"/>
                    <w:jc w:val="center"/>
                  </w:pPr>
                  <w:r>
                    <w:t xml:space="preserve">NA</w:t>
                  </w:r>
                </w:p>
              </w:tc>
            </w:tr>
            <w:tr>
              <w:tc>
                <w:tcPr/>
                <w:p>
                  <w:pPr>
                    <w:pStyle w:val="Compact"/>
                    <w:jc w:val="center"/>
                  </w:pPr>
                  <w:r>
                    <w:t xml:space="preserve">FTHR</w:t>
                  </w:r>
                </w:p>
              </w:tc>
              <w:tc>
                <w:tcPr/>
                <w:p>
                  <w:pPr>
                    <w:pStyle w:val="Compact"/>
                    <w:jc w:val="center"/>
                  </w:pPr>
                  <w:r>
                    <w:t xml:space="preserve">line fitting threshold</w:t>
                  </w:r>
                </w:p>
              </w:tc>
              <w:tc>
                <w:tcPr/>
                <w:p>
                  <w:pPr>
                    <w:pStyle w:val="Compact"/>
                    <w:jc w:val="center"/>
                  </w:pPr>
                  <w:r>
                    <w:t xml:space="preserve">Pixels (30m)</w:t>
                  </w:r>
                </w:p>
              </w:tc>
              <w:tc>
                <w:tcPr/>
                <w:p>
                  <w:pPr>
                    <w:pStyle w:val="Compact"/>
                    <w:jc w:val="center"/>
                  </w:pPr>
                  <w:r>
                    <w:t xml:space="preserve">3</w:t>
                  </w:r>
                </w:p>
              </w:tc>
              <w:tc>
                <w:tcPr/>
                <w:p>
                  <w:pPr>
                    <w:pStyle w:val="Compact"/>
                    <w:jc w:val="center"/>
                  </w:pPr>
                  <w:r>
                    <w:t xml:space="preserve">90</w:t>
                  </w:r>
                </w:p>
              </w:tc>
            </w:tr>
            <w:tr>
              <w:tc>
                <w:tcPr/>
                <w:p>
                  <w:pPr>
                    <w:pStyle w:val="Compact"/>
                    <w:jc w:val="center"/>
                  </w:pPr>
                  <w:r>
                    <w:t xml:space="preserve">LTHR</w:t>
                  </w:r>
                </w:p>
              </w:tc>
              <w:tc>
                <w:tcPr/>
                <w:p>
                  <w:pPr>
                    <w:pStyle w:val="Compact"/>
                    <w:jc w:val="center"/>
                  </w:pPr>
                  <w:r>
                    <w:t xml:space="preserve">curve length threshold</w:t>
                  </w:r>
                </w:p>
              </w:tc>
              <w:tc>
                <w:tcPr/>
                <w:p>
                  <w:pPr>
                    <w:pStyle w:val="Compact"/>
                    <w:jc w:val="center"/>
                  </w:pPr>
                  <w:r>
                    <w:t xml:space="preserve">Pixels (30m)</w:t>
                  </w:r>
                </w:p>
              </w:tc>
              <w:tc>
                <w:tcPr/>
                <w:p>
                  <w:pPr>
                    <w:pStyle w:val="Compact"/>
                    <w:jc w:val="center"/>
                  </w:pPr>
                  <w:r>
                    <w:t xml:space="preserve">30</w:t>
                  </w:r>
                </w:p>
              </w:tc>
              <w:tc>
                <w:tcPr/>
                <w:p>
                  <w:pPr>
                    <w:pStyle w:val="Compact"/>
                    <w:jc w:val="center"/>
                  </w:pPr>
                  <w:r>
                    <w:t xml:space="preserve">900</w:t>
                  </w:r>
                </w:p>
              </w:tc>
            </w:tr>
            <w:tr>
              <w:tc>
                <w:tcPr/>
                <w:p>
                  <w:pPr>
                    <w:pStyle w:val="Compact"/>
                    <w:jc w:val="center"/>
                  </w:pPr>
                  <w:r>
                    <w:t xml:space="preserve">ATHR</w:t>
                  </w:r>
                </w:p>
              </w:tc>
              <w:tc>
                <w:tcPr/>
                <w:p>
                  <w:pPr>
                    <w:pStyle w:val="Compact"/>
                    <w:jc w:val="center"/>
                  </w:pPr>
                  <w:r>
                    <w:t xml:space="preserve">angular difference threshold</w:t>
                  </w:r>
                </w:p>
              </w:tc>
              <w:tc>
                <w:tcPr/>
                <w:p>
                  <w:pPr>
                    <w:pStyle w:val="Compact"/>
                    <w:jc w:val="center"/>
                  </w:pPr>
                  <w:r>
                    <w:t xml:space="preserve">degrees</w:t>
                  </w:r>
                </w:p>
              </w:tc>
              <w:tc>
                <w:tcPr/>
                <w:p>
                  <w:pPr>
                    <w:pStyle w:val="Compact"/>
                    <w:jc w:val="center"/>
                  </w:pPr>
                  <w:r>
                    <w:t xml:space="preserve">30</w:t>
                  </w:r>
                </w:p>
              </w:tc>
              <w:tc>
                <w:tcPr/>
                <w:p>
                  <w:pPr>
                    <w:pStyle w:val="Compact"/>
                    <w:jc w:val="center"/>
                  </w:pPr>
                  <w:r>
                    <w:t xml:space="preserve">NA</w:t>
                  </w:r>
                </w:p>
              </w:tc>
            </w:tr>
            <w:tr>
              <w:tc>
                <w:tcPr/>
                <w:p>
                  <w:pPr>
                    <w:pStyle w:val="Compact"/>
                    <w:jc w:val="center"/>
                  </w:pPr>
                  <w:r>
                    <w:t xml:space="preserve">DTHR</w:t>
                  </w:r>
                </w:p>
              </w:tc>
              <w:tc>
                <w:tcPr/>
                <w:p>
                  <w:pPr>
                    <w:pStyle w:val="Compact"/>
                    <w:jc w:val="center"/>
                  </w:pPr>
                  <w:r>
                    <w:t xml:space="preserve">linking distance threshold</w:t>
                  </w:r>
                </w:p>
              </w:tc>
              <w:tc>
                <w:tcPr/>
                <w:p>
                  <w:pPr>
                    <w:pStyle w:val="Compact"/>
                    <w:jc w:val="center"/>
                  </w:pPr>
                  <w:r>
                    <w:t xml:space="preserve">Pixels (30m)</w:t>
                  </w:r>
                </w:p>
              </w:tc>
              <w:tc>
                <w:tcPr/>
                <w:p>
                  <w:pPr>
                    <w:pStyle w:val="Compact"/>
                    <w:jc w:val="center"/>
                  </w:pPr>
                  <w:r>
                    <w:t xml:space="preserve">20</w:t>
                  </w:r>
                </w:p>
              </w:tc>
              <w:tc>
                <w:tcPr/>
                <w:p>
                  <w:pPr>
                    <w:pStyle w:val="Compact"/>
                    <w:jc w:val="center"/>
                  </w:pPr>
                  <w:r>
                    <w:t xml:space="preserve">600</w:t>
                  </w:r>
                </w:p>
              </w:tc>
            </w:tr>
          </w:tbl>
          <w:bookmarkEnd w:id="341"/>
          <w:p/>
        </w:tc>
      </w:tr>
    </w:tbl>
    <w:p>
      <w:r>
        <w:pict>
          <v:rect style="width:0;height:1.5pt" o:hralign="center" o:hrstd="t" o:hr="t"/>
        </w:pict>
      </w:r>
    </w:p>
    <w:bookmarkEnd w:id="342"/>
    <w:bookmarkEnd w:id="343"/>
    <w:bookmarkEnd w:id="344"/>
    <w:bookmarkStart w:id="389" w:name="sec-sa"/>
    <w:p>
      <w:pPr>
        <w:pStyle w:val="Heading2"/>
      </w:pPr>
      <w:r>
        <w:t xml:space="preserve">8.3 Sensitivity Analysis Results</w:t>
      </w:r>
    </w:p>
    <w:bookmarkStart w:id="355" w:name="vdi-sensitivity-analysis"/>
    <w:p>
      <w:pPr>
        <w:pStyle w:val="Heading3"/>
      </w:pPr>
      <w:r>
        <w:t xml:space="preserve">8.3.1 VDI Sensitivity Analysis</w:t>
      </w:r>
    </w:p>
    <w:tbl>
      <w:tblPr>
        <w:tblStyle w:val="Table"/>
        <w:tblW w:type="pct" w:w="5000"/>
        <w:tblLayout w:type="fixed"/>
        <w:tblLook w:firstRow="0" w:lastRow="0" w:firstColumn="0" w:lastColumn="0" w:noHBand="0" w:noVBand="0" w:val="0000"/>
      </w:tblPr>
      <w:tblGrid>
        <w:gridCol w:w="7920"/>
      </w:tblGrid>
      <w:tr>
        <w:tc>
          <w:tcPr/>
          <w:bookmarkStart w:id="345" w:name="tbl-sa-vdi-w"/>
          <w:p>
            <w:pPr>
              <w:jc w:val="center"/>
            </w:pPr>
            <w:pPr>
              <w:jc w:val="start"/>
              <w:spacing w:before="200"/>
              <w:pStyle w:val="ImageCaption"/>
            </w:pPr>
            <w:r>
              <w:t xml:space="preserve">Table 8: Weight swapping VDI Results. Sensitivity analysis on vegetation density index (VDI) where variable weights were swapped. The values from the row in bold were used in the primary analysis.</w:t>
            </w:r>
          </w:p>
          <w:tbl>
            <w:tblPr>
              <w:tblStyle w:val="Table"/>
              <w:tblW w:type="pct" w:w="5000"/>
              <w:tblLayout w:type="fixed"/>
              <w:tblLook w:firstRow="1" w:lastRow="0" w:firstColumn="0" w:lastColumn="0" w:noHBand="0" w:noVBand="0" w:val="0020"/>
            </w:tblPr>
            <w:tblGrid>
              <w:gridCol w:w="1131"/>
              <w:gridCol w:w="1131"/>
              <w:gridCol w:w="1131"/>
              <w:gridCol w:w="1131"/>
              <w:gridCol w:w="1131"/>
              <w:gridCol w:w="1131"/>
              <w:gridCol w:w="1131"/>
            </w:tblGrid>
            <w:tr>
              <w:trPr>
                <w:tblHeader w:val="on"/>
              </w:trPr>
              <w:tc>
                <w:tcPr/>
                <w:p>
                  <w:pPr>
                    <w:pStyle w:val="Compact"/>
                    <w:jc w:val="center"/>
                  </w:pPr>
                  <w:r>
                    <w:t xml:space="preserve">Run</w:t>
                  </w:r>
                </w:p>
              </w:tc>
              <w:tc>
                <w:tcPr/>
                <w:p>
                  <w:pPr>
                    <w:pStyle w:val="Compact"/>
                    <w:jc w:val="center"/>
                  </w:pPr>
                  <w:r>
                    <w:t xml:space="preserve">sBA weight</w:t>
                  </w:r>
                </w:p>
              </w:tc>
              <w:tc>
                <w:tcPr/>
                <w:p>
                  <w:pPr>
                    <w:pStyle w:val="Compact"/>
                    <w:jc w:val="center"/>
                  </w:pPr>
                  <w:r>
                    <w:t xml:space="preserve">sCC weight</w:t>
                  </w:r>
                </w:p>
              </w:tc>
              <w:tc>
                <w:tcPr/>
                <w:p>
                  <w:pPr>
                    <w:pStyle w:val="Compact"/>
                    <w:jc w:val="center"/>
                  </w:pPr>
                  <w:r>
                    <w:t xml:space="preserve">%&gt;5</w:t>
                  </w:r>
                </w:p>
              </w:tc>
              <w:tc>
                <w:tcPr/>
                <w:p>
                  <w:pPr>
                    <w:pStyle w:val="Compact"/>
                    <w:jc w:val="center"/>
                  </w:pPr>
                  <w:r>
                    <w:t xml:space="preserve">%&gt;6</w:t>
                  </w:r>
                </w:p>
              </w:tc>
              <w:tc>
                <w:tcPr/>
                <w:p>
                  <w:pPr>
                    <w:pStyle w:val="Compact"/>
                    <w:jc w:val="center"/>
                  </w:pPr>
                  <w:r>
                    <w:t xml:space="preserve">%&gt;7</w:t>
                  </w:r>
                </w:p>
              </w:tc>
              <w:tc>
                <w:tcPr/>
                <w:p>
                  <w:pPr>
                    <w:pStyle w:val="Compact"/>
                    <w:jc w:val="center"/>
                  </w:pPr>
                  <w:r>
                    <w:t xml:space="preserve">Mean value</w:t>
                  </w:r>
                </w:p>
              </w:tc>
            </w:tr>
            <w:tr>
              <w:tc>
                <w:tcPr/>
                <w:p>
                  <w:pPr>
                    <w:pStyle w:val="Compact"/>
                    <w:jc w:val="center"/>
                  </w:pPr>
                  <w:r>
                    <w:rPr>
                      <w:b/>
                      <w:bCs/>
                    </w:rPr>
                    <w:t xml:space="preserve">VDI_0</w:t>
                  </w:r>
                </w:p>
              </w:tc>
              <w:tc>
                <w:tcPr/>
                <w:p>
                  <w:pPr>
                    <w:pStyle w:val="Compact"/>
                    <w:jc w:val="center"/>
                  </w:pPr>
                  <w:r>
                    <w:rPr>
                      <w:b/>
                      <w:bCs/>
                    </w:rPr>
                    <w:t xml:space="preserve">0.6667</w:t>
                  </w:r>
                </w:p>
              </w:tc>
              <w:tc>
                <w:tcPr/>
                <w:p>
                  <w:pPr>
                    <w:pStyle w:val="Compact"/>
                    <w:jc w:val="center"/>
                  </w:pPr>
                  <w:r>
                    <w:rPr>
                      <w:b/>
                      <w:bCs/>
                    </w:rPr>
                    <w:t xml:space="preserve">0.3333</w:t>
                  </w:r>
                </w:p>
              </w:tc>
              <w:tc>
                <w:tcPr/>
                <w:p>
                  <w:pPr>
                    <w:pStyle w:val="Compact"/>
                    <w:jc w:val="center"/>
                  </w:pPr>
                  <w:r>
                    <w:rPr>
                      <w:b/>
                      <w:bCs/>
                    </w:rPr>
                    <w:t xml:space="preserve">72.45</w:t>
                  </w:r>
                </w:p>
              </w:tc>
              <w:tc>
                <w:tcPr/>
                <w:p>
                  <w:pPr>
                    <w:pStyle w:val="Compact"/>
                    <w:jc w:val="center"/>
                  </w:pPr>
                  <w:r>
                    <w:rPr>
                      <w:b/>
                      <w:bCs/>
                    </w:rPr>
                    <w:t xml:space="preserve">67.17</w:t>
                  </w:r>
                </w:p>
              </w:tc>
              <w:tc>
                <w:tcPr/>
                <w:p>
                  <w:pPr>
                    <w:pStyle w:val="Compact"/>
                    <w:jc w:val="center"/>
                  </w:pPr>
                  <w:r>
                    <w:rPr>
                      <w:b/>
                      <w:bCs/>
                    </w:rPr>
                    <w:t xml:space="preserve">63.62</w:t>
                  </w:r>
                </w:p>
              </w:tc>
              <w:tc>
                <w:tcPr/>
                <w:p>
                  <w:pPr>
                    <w:pStyle w:val="Compact"/>
                    <w:jc w:val="center"/>
                  </w:pPr>
                  <w:r>
                    <w:rPr>
                      <w:b/>
                      <w:bCs/>
                    </w:rPr>
                    <w:t xml:space="preserve">7.25</w:t>
                  </w:r>
                </w:p>
              </w:tc>
            </w:tr>
            <w:tr>
              <w:tc>
                <w:tcPr/>
                <w:p>
                  <w:pPr>
                    <w:pStyle w:val="Compact"/>
                    <w:jc w:val="center"/>
                  </w:pPr>
                  <w:r>
                    <w:t xml:space="preserve">VDI_1</w:t>
                  </w:r>
                </w:p>
              </w:tc>
              <w:tc>
                <w:tcPr/>
                <w:p>
                  <w:pPr>
                    <w:pStyle w:val="Compact"/>
                    <w:jc w:val="center"/>
                  </w:pPr>
                  <w:r>
                    <w:t xml:space="preserve">0.3333</w:t>
                  </w:r>
                </w:p>
              </w:tc>
              <w:tc>
                <w:tcPr/>
                <w:p>
                  <w:pPr>
                    <w:pStyle w:val="Compact"/>
                    <w:jc w:val="center"/>
                  </w:pPr>
                  <w:r>
                    <w:t xml:space="preserve">0.6667</w:t>
                  </w:r>
                </w:p>
              </w:tc>
              <w:tc>
                <w:tcPr/>
                <w:p>
                  <w:pPr>
                    <w:pStyle w:val="Compact"/>
                    <w:jc w:val="center"/>
                  </w:pPr>
                  <w:r>
                    <w:t xml:space="preserve">78.52</w:t>
                  </w:r>
                </w:p>
              </w:tc>
              <w:tc>
                <w:tcPr/>
                <w:p>
                  <w:pPr>
                    <w:pStyle w:val="Compact"/>
                    <w:jc w:val="center"/>
                  </w:pPr>
                  <w:r>
                    <w:t xml:space="preserve">73.52</w:t>
                  </w:r>
                </w:p>
              </w:tc>
              <w:tc>
                <w:tcPr/>
                <w:p>
                  <w:pPr>
                    <w:pStyle w:val="Compact"/>
                    <w:jc w:val="center"/>
                  </w:pPr>
                  <w:r>
                    <w:t xml:space="preserve">63.70</w:t>
                  </w:r>
                </w:p>
              </w:tc>
              <w:tc>
                <w:tcPr/>
                <w:p>
                  <w:pPr>
                    <w:pStyle w:val="Compact"/>
                    <w:jc w:val="center"/>
                  </w:pPr>
                  <w:r>
                    <w:t xml:space="preserve">7.54</w:t>
                  </w:r>
                </w:p>
              </w:tc>
            </w:tr>
          </w:tbl>
          <w:bookmarkEnd w:id="345"/>
          <w:p/>
        </w:tc>
      </w:tr>
    </w:tbl>
    <w:p>
      <w:pPr>
        <w:pStyle w:val="BodyText"/>
      </w:pPr>
      <w:r>
        <w:t xml:space="preserve"> </w:t>
      </w:r>
    </w:p>
    <w:tbl>
      <w:tblPr>
        <w:tblStyle w:val="Table"/>
        <w:tblW w:type="pct" w:w="5000"/>
        <w:tblLayout w:type="fixed"/>
        <w:tblLook w:firstRow="0" w:lastRow="0" w:firstColumn="0" w:lastColumn="0" w:noHBand="0" w:noVBand="0" w:val="0000"/>
      </w:tblPr>
      <w:tblGrid>
        <w:gridCol w:w="7920"/>
      </w:tblGrid>
      <w:tr>
        <w:tc>
          <w:tcPr/>
          <w:bookmarkStart w:id="349" w:name="fig-sa-vdi-w"/>
          <w:p>
            <w:pPr>
              <w:pStyle w:val="Compact"/>
              <w:jc w:val="center"/>
            </w:pPr>
            <w:r>
              <w:drawing>
                <wp:inline>
                  <wp:extent cx="5334000" cy="5001889"/>
                  <wp:effectExtent b="0" l="0" r="0" t="0"/>
                  <wp:docPr descr="" title="" id="347" name="Picture"/>
                  <a:graphic>
                    <a:graphicData uri="http://schemas.openxmlformats.org/drawingml/2006/picture">
                      <pic:pic>
                        <pic:nvPicPr>
                          <pic:cNvPr descr="images/fig-sa-vdi-w.jpg" id="348" name="Picture"/>
                          <pic:cNvPicPr>
                            <a:picLocks noChangeArrowheads="1" noChangeAspect="1"/>
                          </pic:cNvPicPr>
                        </pic:nvPicPr>
                        <pic:blipFill>
                          <a:blip r:embed="rId346"/>
                          <a:stretch>
                            <a:fillRect/>
                          </a:stretch>
                        </pic:blipFill>
                        <pic:spPr bwMode="auto">
                          <a:xfrm>
                            <a:off x="0" y="0"/>
                            <a:ext cx="5334000" cy="5001889"/>
                          </a:xfrm>
                          <a:prstGeom prst="rect">
                            <a:avLst/>
                          </a:prstGeom>
                          <a:noFill/>
                          <a:ln w="9525">
                            <a:noFill/>
                            <a:headEnd/>
                            <a:tailEnd/>
                          </a:ln>
                        </pic:spPr>
                      </pic:pic>
                    </a:graphicData>
                  </a:graphic>
                </wp:inline>
              </w:drawing>
            </w:r>
          </w:p>
          <w:p>
            <w:pPr>
              <w:jc w:val="center"/>
            </w:pPr>
            <w:pPr>
              <w:jc w:val="start"/>
              <w:spacing w:before="200"/>
              <w:pStyle w:val="ImageCaption"/>
            </w:pPr>
            <w:r>
              <w:t xml:space="preserve">Figure 17: Pixel values across both weighting scenarios of VDI. The image shows four panels the first is pixel CoV, this is the Coefficient of Variation for each pixel in both weighting scenarios shown in the table above. Also known are Mean pixel value, the range of pixel values and the standard deviation of pixel values. There are a few spots of high variability reflected in the CoV, Range, and STD plots and these are areas with high canopy cover but relatively low basal areas, therefore we would not gain much by thinning these forests.This suggests the weighting is acting as it should for the VDI index.</w:t>
            </w:r>
          </w:p>
          <w:bookmarkEnd w:id="349"/>
        </w:tc>
      </w:tr>
    </w:tbl>
    <w:p>
      <w:pPr>
        <w:pStyle w:val="BodyText"/>
      </w:pPr>
      <w:r>
        <w:t xml:space="preserve"> </w:t>
      </w:r>
    </w:p>
    <w:tbl>
      <w:tblPr>
        <w:tblStyle w:val="Table"/>
        <w:tblW w:type="pct" w:w="5000"/>
        <w:tblLayout w:type="fixed"/>
        <w:tblLook w:firstRow="0" w:lastRow="0" w:firstColumn="0" w:lastColumn="0" w:noHBand="0" w:noVBand="0" w:val="0000"/>
      </w:tblPr>
      <w:tblGrid>
        <w:gridCol w:w="7920"/>
      </w:tblGrid>
      <w:tr>
        <w:tc>
          <w:tcPr/>
          <w:bookmarkStart w:id="350" w:name="tbl-sa-vdi-r"/>
          <w:p>
            <w:pPr>
              <w:jc w:val="center"/>
            </w:pPr>
            <w:pPr>
              <w:jc w:val="start"/>
              <w:spacing w:before="200"/>
              <w:pStyle w:val="ImageCaption"/>
            </w:pPr>
            <w:r>
              <w:t xml:space="preserve">Table 9: Variable Removal VDI Results.Sensitivity analysis on vegetation density index (VDI) with removal of variables One-at-a-Time (OAT) and equal weighting for the ’None condition. The values from the row in bold were used in the primary analysis.</w:t>
            </w:r>
          </w:p>
          <w:tbl>
            <w:tblPr>
              <w:tblStyle w:val="Table"/>
              <w:tblW w:type="auto" w:w="0"/>
              <w:tblLook w:firstRow="1" w:lastRow="0" w:firstColumn="0" w:lastColumn="0" w:noHBand="0" w:noVBand="0" w:val="0020"/>
            </w:tblPr>
            <w:tblGrid>
              <w:gridCol w:w="1584"/>
              <w:gridCol w:w="1584"/>
              <w:gridCol w:w="1584"/>
              <w:gridCol w:w="1584"/>
              <w:gridCol w:w="1584"/>
            </w:tblGrid>
            <w:tr>
              <w:trPr>
                <w:tblHeader w:val="on"/>
              </w:trPr>
              <w:tc>
                <w:tcPr/>
                <w:p>
                  <w:pPr>
                    <w:pStyle w:val="Compact"/>
                    <w:jc w:val="center"/>
                  </w:pPr>
                  <w:r>
                    <w:t xml:space="preserve">Removed</w:t>
                  </w:r>
                </w:p>
              </w:tc>
              <w:tc>
                <w:tcPr/>
                <w:p>
                  <w:pPr>
                    <w:pStyle w:val="Compact"/>
                    <w:jc w:val="center"/>
                  </w:pPr>
                  <w:r>
                    <w:t xml:space="preserve">% &gt; 5</w:t>
                  </w:r>
                </w:p>
              </w:tc>
              <w:tc>
                <w:tcPr/>
                <w:p>
                  <w:pPr>
                    <w:pStyle w:val="Compact"/>
                    <w:jc w:val="center"/>
                  </w:pPr>
                  <w:r>
                    <w:t xml:space="preserve">% &gt; 6</w:t>
                  </w:r>
                </w:p>
              </w:tc>
              <w:tc>
                <w:tcPr/>
                <w:p>
                  <w:pPr>
                    <w:pStyle w:val="Compact"/>
                    <w:jc w:val="center"/>
                  </w:pPr>
                  <w:r>
                    <w:t xml:space="preserve">% &gt; 7</w:t>
                  </w:r>
                </w:p>
              </w:tc>
              <w:tc>
                <w:tcPr/>
                <w:p>
                  <w:pPr>
                    <w:pStyle w:val="Compact"/>
                    <w:jc w:val="center"/>
                  </w:pPr>
                  <w:r>
                    <w:t xml:space="preserve">Mean Value</w:t>
                  </w:r>
                </w:p>
              </w:tc>
            </w:tr>
            <w:tr>
              <w:tc>
                <w:tcPr/>
                <w:p>
                  <w:pPr>
                    <w:pStyle w:val="Compact"/>
                    <w:jc w:val="center"/>
                  </w:pPr>
                  <w:r>
                    <w:rPr>
                      <w:b/>
                      <w:bCs/>
                    </w:rPr>
                    <w:t xml:space="preserve">None</w:t>
                  </w:r>
                </w:p>
              </w:tc>
              <w:tc>
                <w:tcPr/>
                <w:p>
                  <w:pPr>
                    <w:pStyle w:val="Compact"/>
                    <w:jc w:val="center"/>
                  </w:pPr>
                  <w:r>
                    <w:rPr>
                      <w:b/>
                      <w:bCs/>
                    </w:rPr>
                    <w:t xml:space="preserve">37.46</w:t>
                  </w:r>
                </w:p>
              </w:tc>
              <w:tc>
                <w:tcPr/>
                <w:p>
                  <w:pPr>
                    <w:pStyle w:val="Compact"/>
                    <w:jc w:val="center"/>
                  </w:pPr>
                  <w:r>
                    <w:rPr>
                      <w:b/>
                      <w:bCs/>
                    </w:rPr>
                    <w:t xml:space="preserve">33.35</w:t>
                  </w:r>
                </w:p>
              </w:tc>
              <w:tc>
                <w:tcPr/>
                <w:p>
                  <w:pPr>
                    <w:pStyle w:val="Compact"/>
                    <w:jc w:val="center"/>
                  </w:pPr>
                  <w:r>
                    <w:rPr>
                      <w:b/>
                      <w:bCs/>
                    </w:rPr>
                    <w:t xml:space="preserve">30.86</w:t>
                  </w:r>
                </w:p>
              </w:tc>
              <w:tc>
                <w:tcPr/>
                <w:p>
                  <w:pPr>
                    <w:pStyle w:val="Compact"/>
                    <w:jc w:val="center"/>
                  </w:pPr>
                  <w:r>
                    <w:rPr>
                      <w:b/>
                      <w:bCs/>
                    </w:rPr>
                    <w:t xml:space="preserve">7.40</w:t>
                  </w:r>
                </w:p>
              </w:tc>
            </w:tr>
            <w:tr>
              <w:tc>
                <w:tcPr/>
                <w:p>
                  <w:pPr>
                    <w:pStyle w:val="Compact"/>
                    <w:jc w:val="center"/>
                  </w:pPr>
                  <w:r>
                    <w:t xml:space="preserve">sBA</w:t>
                  </w:r>
                </w:p>
              </w:tc>
              <w:tc>
                <w:tcPr/>
                <w:p>
                  <w:pPr>
                    <w:pStyle w:val="Compact"/>
                    <w:jc w:val="center"/>
                  </w:pPr>
                  <w:r>
                    <w:t xml:space="preserve">39.98</w:t>
                  </w:r>
                </w:p>
              </w:tc>
              <w:tc>
                <w:tcPr/>
                <w:p>
                  <w:pPr>
                    <w:pStyle w:val="Compact"/>
                    <w:jc w:val="center"/>
                  </w:pPr>
                  <w:r>
                    <w:t xml:space="preserve">38.28</w:t>
                  </w:r>
                </w:p>
              </w:tc>
              <w:tc>
                <w:tcPr/>
                <w:p>
                  <w:pPr>
                    <w:pStyle w:val="Compact"/>
                    <w:jc w:val="center"/>
                  </w:pPr>
                  <w:r>
                    <w:t xml:space="preserve">36.22</w:t>
                  </w:r>
                </w:p>
              </w:tc>
              <w:tc>
                <w:tcPr/>
                <w:p>
                  <w:pPr>
                    <w:pStyle w:val="Compact"/>
                    <w:jc w:val="center"/>
                  </w:pPr>
                  <w:r>
                    <w:t xml:space="preserve">7.83</w:t>
                  </w:r>
                </w:p>
              </w:tc>
            </w:tr>
            <w:tr>
              <w:tc>
                <w:tcPr/>
                <w:p>
                  <w:pPr>
                    <w:pStyle w:val="Compact"/>
                    <w:jc w:val="center"/>
                  </w:pPr>
                  <w:r>
                    <w:t xml:space="preserve">sCC</w:t>
                  </w:r>
                </w:p>
              </w:tc>
              <w:tc>
                <w:tcPr/>
                <w:p>
                  <w:pPr>
                    <w:pStyle w:val="Compact"/>
                    <w:jc w:val="center"/>
                  </w:pPr>
                  <w:r>
                    <w:t xml:space="preserve">37.13</w:t>
                  </w:r>
                </w:p>
              </w:tc>
              <w:tc>
                <w:tcPr/>
                <w:p>
                  <w:pPr>
                    <w:pStyle w:val="Compact"/>
                    <w:jc w:val="center"/>
                  </w:pPr>
                  <w:r>
                    <w:t xml:space="preserve">32.67</w:t>
                  </w:r>
                </w:p>
              </w:tc>
              <w:tc>
                <w:tcPr/>
                <w:p>
                  <w:pPr>
                    <w:pStyle w:val="Compact"/>
                    <w:jc w:val="center"/>
                  </w:pPr>
                  <w:r>
                    <w:t xml:space="preserve">31.72</w:t>
                  </w:r>
                </w:p>
              </w:tc>
              <w:tc>
                <w:tcPr/>
                <w:p>
                  <w:pPr>
                    <w:pStyle w:val="Compact"/>
                    <w:jc w:val="center"/>
                  </w:pPr>
                  <w:r>
                    <w:t xml:space="preserve">7.94</w:t>
                  </w:r>
                </w:p>
              </w:tc>
            </w:tr>
          </w:tbl>
          <w:bookmarkEnd w:id="350"/>
          <w:p/>
        </w:tc>
      </w:tr>
    </w:tbl>
    <w:p>
      <w:pPr>
        <w:pStyle w:val="BodyText"/>
      </w:pPr>
      <w:r>
        <w:t xml:space="preserve"> </w:t>
      </w:r>
    </w:p>
    <w:tbl>
      <w:tblPr>
        <w:tblStyle w:val="Table"/>
        <w:tblW w:type="pct" w:w="5000"/>
        <w:tblLayout w:type="fixed"/>
        <w:tblLook w:firstRow="0" w:lastRow="0" w:firstColumn="0" w:lastColumn="0" w:noHBand="0" w:noVBand="0" w:val="0000"/>
      </w:tblPr>
      <w:tblGrid>
        <w:gridCol w:w="7920"/>
      </w:tblGrid>
      <w:tr>
        <w:tc>
          <w:tcPr/>
          <w:bookmarkStart w:id="354" w:name="fig-sa-vdi-r"/>
          <w:p>
            <w:pPr>
              <w:pStyle w:val="Compact"/>
              <w:jc w:val="center"/>
            </w:pPr>
            <w:r>
              <w:drawing>
                <wp:inline>
                  <wp:extent cx="5334000" cy="5003470"/>
                  <wp:effectExtent b="0" l="0" r="0" t="0"/>
                  <wp:docPr descr="" title="" id="352" name="Picture"/>
                  <a:graphic>
                    <a:graphicData uri="http://schemas.openxmlformats.org/drawingml/2006/picture">
                      <pic:pic>
                        <pic:nvPicPr>
                          <pic:cNvPr descr="images/fig-sa-vdi-r.jpg" id="353" name="Picture"/>
                          <pic:cNvPicPr>
                            <a:picLocks noChangeArrowheads="1" noChangeAspect="1"/>
                          </pic:cNvPicPr>
                        </pic:nvPicPr>
                        <pic:blipFill>
                          <a:blip r:embed="rId351"/>
                          <a:stretch>
                            <a:fillRect/>
                          </a:stretch>
                        </pic:blipFill>
                        <pic:spPr bwMode="auto">
                          <a:xfrm>
                            <a:off x="0" y="0"/>
                            <a:ext cx="5334000" cy="5003470"/>
                          </a:xfrm>
                          <a:prstGeom prst="rect">
                            <a:avLst/>
                          </a:prstGeom>
                          <a:noFill/>
                          <a:ln w="9525">
                            <a:noFill/>
                            <a:headEnd/>
                            <a:tailEnd/>
                          </a:ln>
                        </pic:spPr>
                      </pic:pic>
                    </a:graphicData>
                  </a:graphic>
                </wp:inline>
              </w:drawing>
            </w:r>
          </w:p>
          <w:p>
            <w:pPr>
              <w:jc w:val="center"/>
            </w:pPr>
            <w:pPr>
              <w:jc w:val="start"/>
              <w:spacing w:before="200"/>
              <w:pStyle w:val="ImageCaption"/>
            </w:pPr>
            <w:r>
              <w:t xml:space="preserve">Figure 18: Pixel value variability with variable removal scenarios of VDI. The four panels show the CoV, Mean, Range, and standard deviation of pixel values across the 3 different variable removal scenarios. There is a relatively high CoV and range for areas right along the margin of the PIPO ecotone where removing either sBA or sCC significantly alters VDI values. This shows that these two variables are not redundant.</w:t>
            </w:r>
          </w:p>
          <w:bookmarkEnd w:id="354"/>
        </w:tc>
      </w:tr>
    </w:tbl>
    <w:bookmarkEnd w:id="355"/>
    <w:bookmarkStart w:id="366" w:name="smii-sensitivity-analysis"/>
    <w:p>
      <w:pPr>
        <w:pStyle w:val="Heading3"/>
      </w:pPr>
      <w:r>
        <w:t xml:space="preserve">8.3.2 SMII Sensitivity Analysis</w:t>
      </w:r>
    </w:p>
    <w:tbl>
      <w:tblPr>
        <w:tblStyle w:val="Table"/>
        <w:tblW w:type="pct" w:w="5000"/>
        <w:tblLayout w:type="fixed"/>
        <w:tblLook w:firstRow="0" w:lastRow="0" w:firstColumn="0" w:lastColumn="0" w:noHBand="0" w:noVBand="0" w:val="0000"/>
      </w:tblPr>
      <w:tblGrid>
        <w:gridCol w:w="7920"/>
      </w:tblGrid>
      <w:tr>
        <w:tc>
          <w:tcPr/>
          <w:bookmarkStart w:id="356" w:name="tbl-sa-smii-w"/>
          <w:p>
            <w:pPr>
              <w:jc w:val="center"/>
            </w:pPr>
            <w:pPr>
              <w:jc w:val="start"/>
              <w:spacing w:before="200"/>
              <w:pStyle w:val="ImageCaption"/>
            </w:pPr>
            <w:r>
              <w:t xml:space="preserve">Table 10: Weight Swapping SMII results. Sensitivity analysis on soil moisture &amp; infiltration index (SMII) where variable weights were swapped. The values from the row in bold were used in the primary analysis.</w:t>
            </w:r>
          </w:p>
          <w:tbl>
            <w:tblPr>
              <w:tblStyle w:val="Table"/>
              <w:tblW w:type="pct" w:w="5000"/>
              <w:tblLayout w:type="fixed"/>
              <w:tblLook w:firstRow="1" w:lastRow="0" w:firstColumn="0" w:lastColumn="0" w:noHBand="0" w:noVBand="0" w:val="0020"/>
            </w:tblPr>
            <w:tblGrid>
              <w:gridCol w:w="1131"/>
              <w:gridCol w:w="1131"/>
              <w:gridCol w:w="1131"/>
              <w:gridCol w:w="1131"/>
              <w:gridCol w:w="1131"/>
              <w:gridCol w:w="1131"/>
              <w:gridCol w:w="1131"/>
            </w:tblGrid>
            <w:tr>
              <w:trPr>
                <w:tblHeader w:val="on"/>
              </w:trPr>
              <w:tc>
                <w:tcPr/>
                <w:p>
                  <w:pPr>
                    <w:pStyle w:val="Compact"/>
                    <w:jc w:val="center"/>
                  </w:pPr>
                  <w:r>
                    <w:t xml:space="preserve">Run</w:t>
                  </w:r>
                </w:p>
              </w:tc>
              <w:tc>
                <w:tcPr/>
                <w:p>
                  <w:pPr>
                    <w:pStyle w:val="Compact"/>
                    <w:jc w:val="center"/>
                  </w:pPr>
                  <w:r>
                    <w:t xml:space="preserve">sSoilK weight</w:t>
                  </w:r>
                </w:p>
              </w:tc>
              <w:tc>
                <w:tcPr/>
                <w:p>
                  <w:pPr>
                    <w:pStyle w:val="Compact"/>
                    <w:jc w:val="center"/>
                  </w:pPr>
                  <w:r>
                    <w:t xml:space="preserve">sTRMI weight</w:t>
                  </w:r>
                </w:p>
              </w:tc>
              <w:tc>
                <w:tcPr/>
                <w:p>
                  <w:pPr>
                    <w:pStyle w:val="Compact"/>
                    <w:jc w:val="center"/>
                  </w:pPr>
                  <w:r>
                    <w:t xml:space="preserve">%&gt;5</w:t>
                  </w:r>
                </w:p>
              </w:tc>
              <w:tc>
                <w:tcPr/>
                <w:p>
                  <w:pPr>
                    <w:pStyle w:val="Compact"/>
                    <w:jc w:val="center"/>
                  </w:pPr>
                  <w:r>
                    <w:t xml:space="preserve">%&gt;6</w:t>
                  </w:r>
                </w:p>
              </w:tc>
              <w:tc>
                <w:tcPr/>
                <w:p>
                  <w:pPr>
                    <w:pStyle w:val="Compact"/>
                    <w:jc w:val="center"/>
                  </w:pPr>
                  <w:r>
                    <w:t xml:space="preserve">%&gt;7</w:t>
                  </w:r>
                </w:p>
              </w:tc>
              <w:tc>
                <w:tcPr/>
                <w:p>
                  <w:pPr>
                    <w:pStyle w:val="Compact"/>
                    <w:jc w:val="center"/>
                  </w:pPr>
                  <w:r>
                    <w:t xml:space="preserve">Mean value</w:t>
                  </w:r>
                </w:p>
              </w:tc>
            </w:tr>
            <w:tr>
              <w:tc>
                <w:tcPr/>
                <w:p>
                  <w:pPr>
                    <w:pStyle w:val="Compact"/>
                    <w:jc w:val="center"/>
                  </w:pPr>
                  <w:r>
                    <w:rPr>
                      <w:b/>
                      <w:bCs/>
                    </w:rPr>
                    <w:t xml:space="preserve">SMII_0</w:t>
                  </w:r>
                </w:p>
              </w:tc>
              <w:tc>
                <w:tcPr/>
                <w:p>
                  <w:pPr>
                    <w:pStyle w:val="Compact"/>
                    <w:jc w:val="center"/>
                  </w:pPr>
                  <w:r>
                    <w:rPr>
                      <w:b/>
                      <w:bCs/>
                    </w:rPr>
                    <w:t xml:space="preserve">0.3333</w:t>
                  </w:r>
                </w:p>
              </w:tc>
              <w:tc>
                <w:tcPr/>
                <w:p>
                  <w:pPr>
                    <w:pStyle w:val="Compact"/>
                    <w:jc w:val="center"/>
                  </w:pPr>
                  <w:r>
                    <w:rPr>
                      <w:b/>
                      <w:bCs/>
                    </w:rPr>
                    <w:t xml:space="preserve">0.6667</w:t>
                  </w:r>
                </w:p>
              </w:tc>
              <w:tc>
                <w:tcPr/>
                <w:p>
                  <w:pPr>
                    <w:pStyle w:val="Compact"/>
                    <w:jc w:val="center"/>
                  </w:pPr>
                  <w:r>
                    <w:rPr>
                      <w:b/>
                      <w:bCs/>
                    </w:rPr>
                    <w:t xml:space="preserve">54.32</w:t>
                  </w:r>
                </w:p>
              </w:tc>
              <w:tc>
                <w:tcPr/>
                <w:p>
                  <w:pPr>
                    <w:pStyle w:val="Compact"/>
                    <w:jc w:val="center"/>
                  </w:pPr>
                  <w:r>
                    <w:rPr>
                      <w:b/>
                      <w:bCs/>
                    </w:rPr>
                    <w:t xml:space="preserve">20.84</w:t>
                  </w:r>
                </w:p>
              </w:tc>
              <w:tc>
                <w:tcPr/>
                <w:p>
                  <w:pPr>
                    <w:pStyle w:val="Compact"/>
                    <w:jc w:val="center"/>
                  </w:pPr>
                  <w:r>
                    <w:rPr>
                      <w:b/>
                      <w:bCs/>
                    </w:rPr>
                    <w:t xml:space="preserve">6.90</w:t>
                  </w:r>
                </w:p>
              </w:tc>
              <w:tc>
                <w:tcPr/>
                <w:p>
                  <w:pPr>
                    <w:pStyle w:val="Compact"/>
                    <w:jc w:val="center"/>
                  </w:pPr>
                  <w:r>
                    <w:rPr>
                      <w:b/>
                      <w:bCs/>
                    </w:rPr>
                    <w:t xml:space="preserve">5.01</w:t>
                  </w:r>
                </w:p>
              </w:tc>
            </w:tr>
            <w:tr>
              <w:tc>
                <w:tcPr/>
                <w:p>
                  <w:pPr>
                    <w:pStyle w:val="Compact"/>
                    <w:jc w:val="center"/>
                  </w:pPr>
                  <w:r>
                    <w:t xml:space="preserve">SMII_1</w:t>
                  </w:r>
                </w:p>
              </w:tc>
              <w:tc>
                <w:tcPr/>
                <w:p>
                  <w:pPr>
                    <w:pStyle w:val="Compact"/>
                    <w:jc w:val="center"/>
                  </w:pPr>
                  <w:r>
                    <w:t xml:space="preserve">0.6667</w:t>
                  </w:r>
                </w:p>
              </w:tc>
              <w:tc>
                <w:tcPr/>
                <w:p>
                  <w:pPr>
                    <w:pStyle w:val="Compact"/>
                    <w:jc w:val="center"/>
                  </w:pPr>
                  <w:r>
                    <w:t xml:space="preserve">0.3333</w:t>
                  </w:r>
                </w:p>
              </w:tc>
              <w:tc>
                <w:tcPr/>
                <w:p>
                  <w:pPr>
                    <w:pStyle w:val="Compact"/>
                    <w:jc w:val="center"/>
                  </w:pPr>
                  <w:r>
                    <w:t xml:space="preserve">66.61</w:t>
                  </w:r>
                </w:p>
              </w:tc>
              <w:tc>
                <w:tcPr/>
                <w:p>
                  <w:pPr>
                    <w:pStyle w:val="Compact"/>
                    <w:jc w:val="center"/>
                  </w:pPr>
                  <w:r>
                    <w:t xml:space="preserve">33.14</w:t>
                  </w:r>
                </w:p>
              </w:tc>
              <w:tc>
                <w:tcPr/>
                <w:p>
                  <w:pPr>
                    <w:pStyle w:val="Compact"/>
                    <w:jc w:val="center"/>
                  </w:pPr>
                  <w:r>
                    <w:t xml:space="preserve">15.33</w:t>
                  </w:r>
                </w:p>
              </w:tc>
              <w:tc>
                <w:tcPr/>
                <w:p>
                  <w:pPr>
                    <w:pStyle w:val="Compact"/>
                    <w:jc w:val="center"/>
                  </w:pPr>
                  <w:r>
                    <w:t xml:space="preserve">5.38</w:t>
                  </w:r>
                </w:p>
              </w:tc>
            </w:tr>
          </w:tbl>
          <w:bookmarkEnd w:id="356"/>
          <w:p/>
        </w:tc>
      </w:tr>
    </w:tbl>
    <w:p>
      <w:pPr>
        <w:pStyle w:val="BodyText"/>
      </w:pPr>
      <w:r>
        <w:t xml:space="preserve"> </w:t>
      </w:r>
    </w:p>
    <w:tbl>
      <w:tblPr>
        <w:tblStyle w:val="Table"/>
        <w:tblW w:type="pct" w:w="5000"/>
        <w:tblLayout w:type="fixed"/>
        <w:tblLook w:firstRow="0" w:lastRow="0" w:firstColumn="0" w:lastColumn="0" w:noHBand="0" w:noVBand="0" w:val="0000"/>
      </w:tblPr>
      <w:tblGrid>
        <w:gridCol w:w="7920"/>
      </w:tblGrid>
      <w:tr>
        <w:tc>
          <w:tcPr/>
          <w:bookmarkStart w:id="360" w:name="fig-sa-smii-w"/>
          <w:p>
            <w:pPr>
              <w:pStyle w:val="Compact"/>
              <w:jc w:val="center"/>
            </w:pPr>
            <w:r>
              <w:drawing>
                <wp:inline>
                  <wp:extent cx="5334000" cy="5001889"/>
                  <wp:effectExtent b="0" l="0" r="0" t="0"/>
                  <wp:docPr descr="" title="" id="358" name="Picture"/>
                  <a:graphic>
                    <a:graphicData uri="http://schemas.openxmlformats.org/drawingml/2006/picture">
                      <pic:pic>
                        <pic:nvPicPr>
                          <pic:cNvPr descr="images/fig-sa-smii-w.jpg" id="359" name="Picture"/>
                          <pic:cNvPicPr>
                            <a:picLocks noChangeArrowheads="1" noChangeAspect="1"/>
                          </pic:cNvPicPr>
                        </pic:nvPicPr>
                        <pic:blipFill>
                          <a:blip r:embed="rId357"/>
                          <a:stretch>
                            <a:fillRect/>
                          </a:stretch>
                        </pic:blipFill>
                        <pic:spPr bwMode="auto">
                          <a:xfrm>
                            <a:off x="0" y="0"/>
                            <a:ext cx="5334000" cy="5001889"/>
                          </a:xfrm>
                          <a:prstGeom prst="rect">
                            <a:avLst/>
                          </a:prstGeom>
                          <a:noFill/>
                          <a:ln w="9525">
                            <a:noFill/>
                            <a:headEnd/>
                            <a:tailEnd/>
                          </a:ln>
                        </pic:spPr>
                      </pic:pic>
                    </a:graphicData>
                  </a:graphic>
                </wp:inline>
              </w:drawing>
            </w:r>
          </w:p>
          <w:p>
            <w:pPr>
              <w:jc w:val="center"/>
            </w:pPr>
            <w:pPr>
              <w:jc w:val="start"/>
              <w:spacing w:before="200"/>
              <w:pStyle w:val="ImageCaption"/>
            </w:pPr>
            <w:r>
              <w:t xml:space="preserve">Figure 19: Pixel values across both weighting scenarios of SMII. The image shows four panels the first is pixel CoV, this is the Coefficient of Variation for each pixel in both weighting scenarios shown in the table above. Also known are Mean pixel value, the range of pixel values, and the standard deviationn of pixel values.Overall we see relatively low CoV and range maxing out at 0.32 and 3.2 respectively. mean values were lower with a higher weighting of TRMI suggesting that it is the limiting factor as shown in the table above. Which is what we indeed for TRMI to do, to limit infiltration potential to wetter areas.</w:t>
            </w:r>
          </w:p>
          <w:bookmarkEnd w:id="360"/>
        </w:tc>
      </w:tr>
    </w:tbl>
    <w:p>
      <w:pPr>
        <w:pStyle w:val="BodyText"/>
      </w:pPr>
      <w:r>
        <w:t xml:space="preserve"> </w:t>
      </w:r>
    </w:p>
    <w:tbl>
      <w:tblPr>
        <w:tblStyle w:val="Table"/>
        <w:tblW w:type="pct" w:w="5000"/>
        <w:tblLayout w:type="fixed"/>
        <w:tblLook w:firstRow="0" w:lastRow="0" w:firstColumn="0" w:lastColumn="0" w:noHBand="0" w:noVBand="0" w:val="0000"/>
      </w:tblPr>
      <w:tblGrid>
        <w:gridCol w:w="7920"/>
      </w:tblGrid>
      <w:tr>
        <w:tc>
          <w:tcPr/>
          <w:bookmarkStart w:id="361" w:name="tbl-sa-smii-r"/>
          <w:p>
            <w:pPr>
              <w:jc w:val="center"/>
            </w:pPr>
            <w:pPr>
              <w:jc w:val="start"/>
              <w:spacing w:before="200"/>
              <w:pStyle w:val="ImageCaption"/>
            </w:pPr>
            <w:r>
              <w:t xml:space="preserve">Table 11: Variable Removal SMII results. Sensitivity analysis on soil moisture &amp; infiltration index (SMII) with removal of variables One-at-a-Time (OAT) and equal weighting for the ’None condition. The values from the row in bold were used in the primary analysis.</w:t>
            </w:r>
          </w:p>
          <w:tbl>
            <w:tblPr>
              <w:tblStyle w:val="Table"/>
              <w:tblW w:type="pct" w:w="5000"/>
              <w:tblLayout w:type="fixed"/>
              <w:tblLook w:firstRow="1" w:lastRow="0" w:firstColumn="0" w:lastColumn="0" w:noHBand="0" w:noVBand="0" w:val="0020"/>
            </w:tblPr>
            <w:tblGrid>
              <w:gridCol w:w="1147"/>
              <w:gridCol w:w="3213"/>
              <w:gridCol w:w="1262"/>
              <w:gridCol w:w="1147"/>
              <w:gridCol w:w="1147"/>
            </w:tblGrid>
            <w:tr>
              <w:trPr>
                <w:tblHeader w:val="on"/>
              </w:trPr>
              <w:tc>
                <w:tcPr/>
                <w:p>
                  <w:pPr>
                    <w:pStyle w:val="Compact"/>
                    <w:jc w:val="center"/>
                  </w:pPr>
                  <w:r>
                    <w:t xml:space="preserve">Removed</w:t>
                  </w:r>
                </w:p>
              </w:tc>
              <w:tc>
                <w:tcPr/>
                <w:p>
                  <w:pPr>
                    <w:pStyle w:val="Compact"/>
                    <w:jc w:val="center"/>
                  </w:pPr>
                  <w:r>
                    <w:t xml:space="preserve">% &gt; 5 % &gt; 6 % &gt; 7 Mean</w:t>
                  </w:r>
                </w:p>
              </w:tc>
              <w:tc>
                <w:tcPr/>
                <w:p>
                  <w:pPr>
                    <w:pStyle w:val="Compact"/>
                  </w:pPr>
                </w:p>
              </w:tc>
              <w:tc>
                <w:tcPr/>
                <w:p>
                  <w:pPr>
                    <w:pStyle w:val="Compact"/>
                  </w:pPr>
                </w:p>
              </w:tc>
              <w:tc>
                <w:tcPr/>
                <w:p>
                  <w:pPr>
                    <w:pStyle w:val="Compact"/>
                  </w:pPr>
                </w:p>
              </w:tc>
            </w:tr>
            <w:tr>
              <w:tc>
                <w:tcPr/>
                <w:p>
                  <w:pPr>
                    <w:pStyle w:val="Compact"/>
                    <w:jc w:val="center"/>
                  </w:pPr>
                  <w:r>
                    <w:rPr>
                      <w:b/>
                      <w:bCs/>
                    </w:rPr>
                    <w:t xml:space="preserve">None</w:t>
                  </w:r>
                </w:p>
              </w:tc>
              <w:tc>
                <w:tcPr/>
                <w:p>
                  <w:pPr>
                    <w:pStyle w:val="Compact"/>
                    <w:jc w:val="center"/>
                  </w:pPr>
                  <w:r>
                    <w:rPr>
                      <w:b/>
                      <w:bCs/>
                    </w:rPr>
                    <w:t xml:space="preserve">27.00</w:t>
                  </w:r>
                </w:p>
              </w:tc>
              <w:tc>
                <w:tcPr/>
                <w:p>
                  <w:pPr>
                    <w:pStyle w:val="Compact"/>
                    <w:jc w:val="center"/>
                  </w:pPr>
                  <w:r>
                    <w:rPr>
                      <w:b/>
                      <w:bCs/>
                    </w:rPr>
                    <w:t xml:space="preserve">12.01</w:t>
                  </w:r>
                </w:p>
              </w:tc>
              <w:tc>
                <w:tcPr/>
                <w:p>
                  <w:pPr>
                    <w:pStyle w:val="Compact"/>
                    <w:jc w:val="center"/>
                  </w:pPr>
                  <w:r>
                    <w:rPr>
                      <w:b/>
                      <w:bCs/>
                    </w:rPr>
                    <w:t xml:space="preserve">2.58</w:t>
                  </w:r>
                </w:p>
              </w:tc>
              <w:tc>
                <w:tcPr/>
                <w:p>
                  <w:pPr>
                    <w:pStyle w:val="Compact"/>
                    <w:jc w:val="center"/>
                  </w:pPr>
                  <w:r>
                    <w:rPr>
                      <w:b/>
                      <w:bCs/>
                    </w:rPr>
                    <w:t xml:space="preserve">5.20</w:t>
                  </w:r>
                </w:p>
              </w:tc>
            </w:tr>
            <w:tr>
              <w:tc>
                <w:tcPr/>
                <w:p>
                  <w:pPr>
                    <w:pStyle w:val="Compact"/>
                    <w:jc w:val="center"/>
                  </w:pPr>
                  <w:r>
                    <w:t xml:space="preserve">sSoilK</w:t>
                  </w:r>
                </w:p>
              </w:tc>
              <w:tc>
                <w:tcPr/>
                <w:p>
                  <w:pPr>
                    <w:pStyle w:val="Compact"/>
                    <w:jc w:val="center"/>
                  </w:pPr>
                  <w:r>
                    <w:t xml:space="preserve">17.55</w:t>
                  </w:r>
                </w:p>
              </w:tc>
              <w:tc>
                <w:tcPr/>
                <w:p>
                  <w:pPr>
                    <w:pStyle w:val="Compact"/>
                    <w:jc w:val="center"/>
                  </w:pPr>
                  <w:r>
                    <w:t xml:space="preserve">8.89</w:t>
                  </w:r>
                </w:p>
              </w:tc>
              <w:tc>
                <w:tcPr/>
                <w:p>
                  <w:pPr>
                    <w:pStyle w:val="Compact"/>
                    <w:jc w:val="center"/>
                  </w:pPr>
                  <w:r>
                    <w:t xml:space="preserve">2.67</w:t>
                  </w:r>
                </w:p>
              </w:tc>
              <w:tc>
                <w:tcPr/>
                <w:p>
                  <w:pPr>
                    <w:pStyle w:val="Compact"/>
                    <w:jc w:val="center"/>
                  </w:pPr>
                  <w:r>
                    <w:t xml:space="preserve">5.06</w:t>
                  </w:r>
                </w:p>
              </w:tc>
            </w:tr>
            <w:tr>
              <w:tc>
                <w:tcPr/>
                <w:p>
                  <w:pPr>
                    <w:pStyle w:val="Compact"/>
                    <w:jc w:val="center"/>
                  </w:pPr>
                  <w:r>
                    <w:t xml:space="preserve">sTRMI</w:t>
                  </w:r>
                </w:p>
              </w:tc>
              <w:tc>
                <w:tcPr/>
                <w:p>
                  <w:pPr>
                    <w:pStyle w:val="Compact"/>
                    <w:jc w:val="center"/>
                  </w:pPr>
                  <w:r>
                    <w:t xml:space="preserve">36.22</w:t>
                  </w:r>
                </w:p>
              </w:tc>
              <w:tc>
                <w:tcPr/>
                <w:p>
                  <w:pPr>
                    <w:pStyle w:val="Compact"/>
                    <w:jc w:val="center"/>
                  </w:pPr>
                  <w:r>
                    <w:t xml:space="preserve">14.55</w:t>
                  </w:r>
                </w:p>
              </w:tc>
              <w:tc>
                <w:tcPr/>
                <w:p>
                  <w:pPr>
                    <w:pStyle w:val="Compact"/>
                    <w:jc w:val="center"/>
                  </w:pPr>
                  <w:r>
                    <w:t xml:space="preserve">14.55</w:t>
                  </w:r>
                </w:p>
              </w:tc>
              <w:tc>
                <w:tcPr/>
                <w:p>
                  <w:pPr>
                    <w:pStyle w:val="Compact"/>
                    <w:jc w:val="center"/>
                  </w:pPr>
                  <w:r>
                    <w:t xml:space="preserve">6.09</w:t>
                  </w:r>
                </w:p>
              </w:tc>
            </w:tr>
          </w:tbl>
          <w:bookmarkEnd w:id="361"/>
          <w:p/>
        </w:tc>
      </w:tr>
    </w:tbl>
    <w:p>
      <w:pPr>
        <w:pStyle w:val="BodyText"/>
      </w:pPr>
      <w:r>
        <w:t xml:space="preserve"> </w:t>
      </w:r>
    </w:p>
    <w:tbl>
      <w:tblPr>
        <w:tblStyle w:val="Table"/>
        <w:tblW w:type="pct" w:w="5000"/>
        <w:tblLayout w:type="fixed"/>
        <w:tblLook w:firstRow="0" w:lastRow="0" w:firstColumn="0" w:lastColumn="0" w:noHBand="0" w:noVBand="0" w:val="0000"/>
      </w:tblPr>
      <w:tblGrid>
        <w:gridCol w:w="7920"/>
      </w:tblGrid>
      <w:tr>
        <w:tc>
          <w:tcPr/>
          <w:bookmarkStart w:id="365" w:name="fig-sa-smii-r"/>
          <w:p>
            <w:pPr>
              <w:pStyle w:val="Compact"/>
              <w:jc w:val="center"/>
            </w:pPr>
            <w:r>
              <w:drawing>
                <wp:inline>
                  <wp:extent cx="5334000" cy="4974802"/>
                  <wp:effectExtent b="0" l="0" r="0" t="0"/>
                  <wp:docPr descr="" title="" id="363" name="Picture"/>
                  <a:graphic>
                    <a:graphicData uri="http://schemas.openxmlformats.org/drawingml/2006/picture">
                      <pic:pic>
                        <pic:nvPicPr>
                          <pic:cNvPr descr="images/fig-sa-smii-r.jpg" id="364" name="Picture"/>
                          <pic:cNvPicPr>
                            <a:picLocks noChangeArrowheads="1" noChangeAspect="1"/>
                          </pic:cNvPicPr>
                        </pic:nvPicPr>
                        <pic:blipFill>
                          <a:blip r:embed="rId362"/>
                          <a:stretch>
                            <a:fillRect/>
                          </a:stretch>
                        </pic:blipFill>
                        <pic:spPr bwMode="auto">
                          <a:xfrm>
                            <a:off x="0" y="0"/>
                            <a:ext cx="5334000" cy="4974802"/>
                          </a:xfrm>
                          <a:prstGeom prst="rect">
                            <a:avLst/>
                          </a:prstGeom>
                          <a:noFill/>
                          <a:ln w="9525">
                            <a:noFill/>
                            <a:headEnd/>
                            <a:tailEnd/>
                          </a:ln>
                        </pic:spPr>
                      </pic:pic>
                    </a:graphicData>
                  </a:graphic>
                </wp:inline>
              </w:drawing>
            </w:r>
          </w:p>
          <w:p>
            <w:pPr>
              <w:jc w:val="center"/>
            </w:pPr>
            <w:pPr>
              <w:jc w:val="start"/>
              <w:spacing w:before="200"/>
              <w:pStyle w:val="ImageCaption"/>
            </w:pPr>
            <w:r>
              <w:t xml:space="preserve">Figure 20: Pixel value variability with variable removal scenarios of SMII. Again we see that removing TRMI dramatically increases pixel values for SMII. The CoV and Range are much higher and the variation in pixel values is highest along stream channels where presumably it is wetter. We do still see that TRMI is the limiting factor in this index, which is what we intended.</w:t>
            </w:r>
          </w:p>
          <w:bookmarkEnd w:id="365"/>
        </w:tc>
      </w:tr>
    </w:tbl>
    <w:p>
      <w:r>
        <w:pict>
          <v:rect style="width:0;height:1.5pt" o:hralign="center" o:hrstd="t" o:hr="t"/>
        </w:pict>
      </w:r>
    </w:p>
    <w:bookmarkEnd w:id="366"/>
    <w:bookmarkStart w:id="377" w:name="sbii-sensitivity-analysis"/>
    <w:p>
      <w:pPr>
        <w:pStyle w:val="Heading3"/>
      </w:pPr>
      <w:r>
        <w:t xml:space="preserve">8.3.3 SbII Sensitivity Analysis</w:t>
      </w:r>
    </w:p>
    <w:tbl>
      <w:tblPr>
        <w:tblStyle w:val="Table"/>
        <w:tblW w:type="pct" w:w="5000"/>
        <w:tblLayout w:type="fixed"/>
        <w:tblLook w:firstRow="0" w:lastRow="0" w:firstColumn="0" w:lastColumn="0" w:noHBand="0" w:noVBand="0" w:val="0000"/>
      </w:tblPr>
      <w:tblGrid>
        <w:gridCol w:w="7920"/>
      </w:tblGrid>
      <w:tr>
        <w:tc>
          <w:tcPr/>
          <w:bookmarkStart w:id="367" w:name="tbl-sa-sbii-w"/>
          <w:p>
            <w:pPr>
              <w:jc w:val="center"/>
            </w:pPr>
            <w:pPr>
              <w:jc w:val="start"/>
              <w:spacing w:before="200"/>
              <w:pStyle w:val="ImageCaption"/>
            </w:pPr>
            <w:r>
              <w:t xml:space="preserve">Table 12: Weight swapping SbII results. Sensitivity analysis on subsurface infiltration Index (SbII) where variable weights were swapped. The values from the row in bold were used in the primary analysis.</w:t>
            </w:r>
          </w:p>
          <w:tbl>
            <w:tblPr>
              <w:tblStyle w:val="Table"/>
              <w:tblW w:type="pct" w:w="5000"/>
              <w:tblLayout w:type="fixed"/>
              <w:tblLook w:firstRow="1" w:lastRow="0" w:firstColumn="0" w:lastColumn="0" w:noHBand="0" w:noVBand="0" w:val="0020"/>
            </w:tblPr>
            <w:tblGrid>
              <w:gridCol w:w="879"/>
              <w:gridCol w:w="879"/>
              <w:gridCol w:w="879"/>
              <w:gridCol w:w="879"/>
              <w:gridCol w:w="879"/>
              <w:gridCol w:w="879"/>
              <w:gridCol w:w="879"/>
              <w:gridCol w:w="879"/>
              <w:gridCol w:w="879"/>
            </w:tblGrid>
            <w:tr>
              <w:trPr>
                <w:tblHeader w:val="on"/>
              </w:trPr>
              <w:tc>
                <w:tcPr/>
                <w:p>
                  <w:pPr>
                    <w:pStyle w:val="Compact"/>
                    <w:jc w:val="center"/>
                  </w:pPr>
                  <w:r>
                    <w:t xml:space="preserve">File</w:t>
                  </w:r>
                </w:p>
              </w:tc>
              <w:tc>
                <w:tcPr/>
                <w:p>
                  <w:pPr>
                    <w:pStyle w:val="Compact"/>
                    <w:jc w:val="center"/>
                  </w:pPr>
                  <w:r>
                    <w:t xml:space="preserve">sLD</w:t>
                  </w:r>
                </w:p>
              </w:tc>
              <w:tc>
                <w:tcPr/>
                <w:p>
                  <w:pPr>
                    <w:pStyle w:val="Compact"/>
                    <w:jc w:val="center"/>
                  </w:pPr>
                  <w:r>
                    <w:t xml:space="preserve">sPK</w:t>
                  </w:r>
                </w:p>
              </w:tc>
              <w:tc>
                <w:tcPr/>
                <w:p>
                  <w:pPr>
                    <w:pStyle w:val="Compact"/>
                    <w:jc w:val="center"/>
                  </w:pPr>
                  <w:r>
                    <w:t xml:space="preserve">sPm</w:t>
                  </w:r>
                </w:p>
              </w:tc>
              <w:tc>
                <w:tcPr/>
                <w:p>
                  <w:pPr>
                    <w:pStyle w:val="Compact"/>
                    <w:jc w:val="center"/>
                  </w:pPr>
                  <w:r>
                    <w:t xml:space="preserve">sPo</w:t>
                  </w:r>
                </w:p>
              </w:tc>
              <w:tc>
                <w:tcPr/>
                <w:p>
                  <w:pPr>
                    <w:pStyle w:val="Compact"/>
                    <w:jc w:val="center"/>
                  </w:pPr>
                  <w:r>
                    <w:t xml:space="preserve">% &gt; 5</w:t>
                  </w:r>
                </w:p>
              </w:tc>
              <w:tc>
                <w:tcPr/>
                <w:p>
                  <w:pPr>
                    <w:pStyle w:val="Compact"/>
                    <w:jc w:val="center"/>
                  </w:pPr>
                  <w:r>
                    <w:t xml:space="preserve">% &gt; 6</w:t>
                  </w:r>
                </w:p>
              </w:tc>
              <w:tc>
                <w:tcPr/>
                <w:p>
                  <w:pPr>
                    <w:pStyle w:val="Compact"/>
                    <w:jc w:val="center"/>
                  </w:pPr>
                  <w:r>
                    <w:t xml:space="preserve">% &gt; 7</w:t>
                  </w:r>
                </w:p>
              </w:tc>
              <w:tc>
                <w:tcPr/>
                <w:p>
                  <w:pPr>
                    <w:pStyle w:val="Compact"/>
                    <w:jc w:val="center"/>
                  </w:pPr>
                  <w:r>
                    <w:t xml:space="preserve">Mean</w:t>
                  </w:r>
                </w:p>
              </w:tc>
            </w:tr>
            <w:tr>
              <w:tc>
                <w:tcPr/>
                <w:p>
                  <w:pPr>
                    <w:pStyle w:val="Compact"/>
                    <w:jc w:val="center"/>
                  </w:pPr>
                  <w:r>
                    <w:rPr>
                      <w:b/>
                      <w:bCs/>
                    </w:rPr>
                    <w:t xml:space="preserve">SbII_0</w:t>
                  </w:r>
                </w:p>
              </w:tc>
              <w:tc>
                <w:tcPr/>
                <w:p>
                  <w:pPr>
                    <w:pStyle w:val="Compact"/>
                    <w:jc w:val="center"/>
                  </w:pPr>
                  <w:r>
                    <w:rPr>
                      <w:b/>
                      <w:bCs/>
                    </w:rPr>
                    <w:t xml:space="preserve">0.15</w:t>
                  </w:r>
                </w:p>
              </w:tc>
              <w:tc>
                <w:tcPr/>
                <w:p>
                  <w:pPr>
                    <w:pStyle w:val="Compact"/>
                    <w:jc w:val="center"/>
                  </w:pPr>
                  <w:r>
                    <w:rPr>
                      <w:b/>
                      <w:bCs/>
                    </w:rPr>
                    <w:t xml:space="preserve">0.2</w:t>
                  </w:r>
                </w:p>
              </w:tc>
              <w:tc>
                <w:tcPr/>
                <w:p>
                  <w:pPr>
                    <w:pStyle w:val="Compact"/>
                    <w:jc w:val="center"/>
                  </w:pPr>
                  <w:r>
                    <w:rPr>
                      <w:b/>
                      <w:bCs/>
                    </w:rPr>
                    <w:t xml:space="preserve">0.4</w:t>
                  </w:r>
                </w:p>
              </w:tc>
              <w:tc>
                <w:tcPr/>
                <w:p>
                  <w:pPr>
                    <w:pStyle w:val="Compact"/>
                    <w:jc w:val="center"/>
                  </w:pPr>
                  <w:r>
                    <w:rPr>
                      <w:b/>
                      <w:bCs/>
                    </w:rPr>
                    <w:t xml:space="preserve">0.25</w:t>
                  </w:r>
                </w:p>
              </w:tc>
              <w:tc>
                <w:tcPr/>
                <w:p>
                  <w:pPr>
                    <w:pStyle w:val="Compact"/>
                    <w:jc w:val="center"/>
                  </w:pPr>
                  <w:r>
                    <w:rPr>
                      <w:b/>
                      <w:bCs/>
                    </w:rPr>
                    <w:t xml:space="preserve">99.92</w:t>
                  </w:r>
                </w:p>
              </w:tc>
              <w:tc>
                <w:tcPr/>
                <w:p>
                  <w:pPr>
                    <w:pStyle w:val="Compact"/>
                    <w:jc w:val="center"/>
                  </w:pPr>
                  <w:r>
                    <w:rPr>
                      <w:b/>
                      <w:bCs/>
                    </w:rPr>
                    <w:t xml:space="preserve">73.78</w:t>
                  </w:r>
                </w:p>
              </w:tc>
              <w:tc>
                <w:tcPr/>
                <w:p>
                  <w:pPr>
                    <w:pStyle w:val="Compact"/>
                    <w:jc w:val="center"/>
                  </w:pPr>
                  <w:r>
                    <w:rPr>
                      <w:b/>
                      <w:bCs/>
                    </w:rPr>
                    <w:t xml:space="preserve">53.95</w:t>
                  </w:r>
                </w:p>
              </w:tc>
              <w:tc>
                <w:tcPr/>
                <w:p>
                  <w:pPr>
                    <w:pStyle w:val="Compact"/>
                    <w:jc w:val="center"/>
                  </w:pPr>
                  <w:r>
                    <w:rPr>
                      <w:b/>
                      <w:bCs/>
                    </w:rPr>
                    <w:t xml:space="preserve">6.65</w:t>
                  </w:r>
                </w:p>
              </w:tc>
            </w:tr>
            <w:tr>
              <w:tc>
                <w:tcPr/>
                <w:p>
                  <w:pPr>
                    <w:pStyle w:val="Compact"/>
                    <w:jc w:val="center"/>
                  </w:pPr>
                  <w:r>
                    <w:t xml:space="preserve">SbII_1</w:t>
                  </w:r>
                </w:p>
              </w:tc>
              <w:tc>
                <w:tcPr/>
                <w:p>
                  <w:pPr>
                    <w:pStyle w:val="Compact"/>
                    <w:jc w:val="center"/>
                  </w:pPr>
                  <w:r>
                    <w:t xml:space="preserve">0.15</w:t>
                  </w:r>
                </w:p>
              </w:tc>
              <w:tc>
                <w:tcPr/>
                <w:p>
                  <w:pPr>
                    <w:pStyle w:val="Compact"/>
                    <w:jc w:val="center"/>
                  </w:pPr>
                  <w:r>
                    <w:t xml:space="preserve">0.2</w:t>
                  </w:r>
                </w:p>
              </w:tc>
              <w:tc>
                <w:tcPr/>
                <w:p>
                  <w:pPr>
                    <w:pStyle w:val="Compact"/>
                    <w:jc w:val="center"/>
                  </w:pPr>
                  <w:r>
                    <w:t xml:space="preserve">0.25</w:t>
                  </w:r>
                </w:p>
              </w:tc>
              <w:tc>
                <w:tcPr/>
                <w:p>
                  <w:pPr>
                    <w:pStyle w:val="Compact"/>
                    <w:jc w:val="center"/>
                  </w:pPr>
                  <w:r>
                    <w:t xml:space="preserve">0.4</w:t>
                  </w:r>
                </w:p>
              </w:tc>
              <w:tc>
                <w:tcPr/>
                <w:p>
                  <w:pPr>
                    <w:pStyle w:val="Compact"/>
                    <w:jc w:val="center"/>
                  </w:pPr>
                  <w:r>
                    <w:t xml:space="preserve">99.95</w:t>
                  </w:r>
                </w:p>
              </w:tc>
              <w:tc>
                <w:tcPr/>
                <w:p>
                  <w:pPr>
                    <w:pStyle w:val="Compact"/>
                    <w:jc w:val="center"/>
                  </w:pPr>
                  <w:r>
                    <w:t xml:space="preserve">58.80</w:t>
                  </w:r>
                </w:p>
              </w:tc>
              <w:tc>
                <w:tcPr/>
                <w:p>
                  <w:pPr>
                    <w:pStyle w:val="Compact"/>
                    <w:jc w:val="center"/>
                  </w:pPr>
                  <w:r>
                    <w:t xml:space="preserve">0.72</w:t>
                  </w:r>
                </w:p>
              </w:tc>
              <w:tc>
                <w:tcPr/>
                <w:p>
                  <w:pPr>
                    <w:pStyle w:val="Compact"/>
                    <w:jc w:val="center"/>
                  </w:pPr>
                  <w:r>
                    <w:t xml:space="preserve">5.97</w:t>
                  </w:r>
                </w:p>
              </w:tc>
            </w:tr>
            <w:tr>
              <w:tc>
                <w:tcPr/>
                <w:p>
                  <w:pPr>
                    <w:pStyle w:val="Compact"/>
                    <w:jc w:val="center"/>
                  </w:pPr>
                  <w:r>
                    <w:t xml:space="preserve">SbII_2</w:t>
                  </w:r>
                </w:p>
              </w:tc>
              <w:tc>
                <w:tcPr/>
                <w:p>
                  <w:pPr>
                    <w:pStyle w:val="Compact"/>
                    <w:jc w:val="center"/>
                  </w:pPr>
                  <w:r>
                    <w:t xml:space="preserve">0.15</w:t>
                  </w:r>
                </w:p>
              </w:tc>
              <w:tc>
                <w:tcPr/>
                <w:p>
                  <w:pPr>
                    <w:pStyle w:val="Compact"/>
                    <w:jc w:val="center"/>
                  </w:pPr>
                  <w:r>
                    <w:t xml:space="preserve">0.4</w:t>
                  </w:r>
                </w:p>
              </w:tc>
              <w:tc>
                <w:tcPr/>
                <w:p>
                  <w:pPr>
                    <w:pStyle w:val="Compact"/>
                    <w:jc w:val="center"/>
                  </w:pPr>
                  <w:r>
                    <w:t xml:space="preserve">0.2</w:t>
                  </w:r>
                </w:p>
              </w:tc>
              <w:tc>
                <w:tcPr/>
                <w:p>
                  <w:pPr>
                    <w:pStyle w:val="Compact"/>
                    <w:jc w:val="center"/>
                  </w:pPr>
                  <w:r>
                    <w:t xml:space="preserve">0.25</w:t>
                  </w:r>
                </w:p>
              </w:tc>
              <w:tc>
                <w:tcPr/>
                <w:p>
                  <w:pPr>
                    <w:pStyle w:val="Compact"/>
                    <w:jc w:val="center"/>
                  </w:pPr>
                  <w:r>
                    <w:t xml:space="preserve">99.97</w:t>
                  </w:r>
                </w:p>
              </w:tc>
              <w:tc>
                <w:tcPr/>
                <w:p>
                  <w:pPr>
                    <w:pStyle w:val="Compact"/>
                    <w:jc w:val="center"/>
                  </w:pPr>
                  <w:r>
                    <w:t xml:space="preserve">59.41</w:t>
                  </w:r>
                </w:p>
              </w:tc>
              <w:tc>
                <w:tcPr/>
                <w:p>
                  <w:pPr>
                    <w:pStyle w:val="Compact"/>
                    <w:jc w:val="center"/>
                  </w:pPr>
                  <w:r>
                    <w:t xml:space="preserve">55.62</w:t>
                  </w:r>
                </w:p>
              </w:tc>
              <w:tc>
                <w:tcPr/>
                <w:p>
                  <w:pPr>
                    <w:pStyle w:val="Compact"/>
                    <w:jc w:val="center"/>
                  </w:pPr>
                  <w:r>
                    <w:t xml:space="preserve">6.58</w:t>
                  </w:r>
                </w:p>
              </w:tc>
            </w:tr>
            <w:tr>
              <w:tc>
                <w:tcPr/>
                <w:p>
                  <w:pPr>
                    <w:pStyle w:val="Compact"/>
                    <w:jc w:val="center"/>
                  </w:pPr>
                  <w:r>
                    <w:t xml:space="preserve">SbII_3</w:t>
                  </w:r>
                </w:p>
              </w:tc>
              <w:tc>
                <w:tcPr/>
                <w:p>
                  <w:pPr>
                    <w:pStyle w:val="Compact"/>
                    <w:jc w:val="center"/>
                  </w:pPr>
                  <w:r>
                    <w:t xml:space="preserve">0.15</w:t>
                  </w:r>
                </w:p>
              </w:tc>
              <w:tc>
                <w:tcPr/>
                <w:p>
                  <w:pPr>
                    <w:pStyle w:val="Compact"/>
                    <w:jc w:val="center"/>
                  </w:pPr>
                  <w:r>
                    <w:t xml:space="preserve">0.4</w:t>
                  </w:r>
                </w:p>
              </w:tc>
              <w:tc>
                <w:tcPr/>
                <w:p>
                  <w:pPr>
                    <w:pStyle w:val="Compact"/>
                    <w:jc w:val="center"/>
                  </w:pPr>
                  <w:r>
                    <w:t xml:space="preserve">0.25</w:t>
                  </w:r>
                </w:p>
              </w:tc>
              <w:tc>
                <w:tcPr/>
                <w:p>
                  <w:pPr>
                    <w:pStyle w:val="Compact"/>
                    <w:jc w:val="center"/>
                  </w:pPr>
                  <w:r>
                    <w:t xml:space="preserve">0.2</w:t>
                  </w:r>
                </w:p>
              </w:tc>
              <w:tc>
                <w:tcPr/>
                <w:p>
                  <w:pPr>
                    <w:pStyle w:val="Compact"/>
                    <w:jc w:val="center"/>
                  </w:pPr>
                  <w:r>
                    <w:t xml:space="preserve">99.97</w:t>
                  </w:r>
                </w:p>
              </w:tc>
              <w:tc>
                <w:tcPr/>
                <w:p>
                  <w:pPr>
                    <w:pStyle w:val="Compact"/>
                    <w:jc w:val="center"/>
                  </w:pPr>
                  <w:r>
                    <w:t xml:space="preserve">59.41</w:t>
                  </w:r>
                </w:p>
              </w:tc>
              <w:tc>
                <w:tcPr/>
                <w:p>
                  <w:pPr>
                    <w:pStyle w:val="Compact"/>
                    <w:jc w:val="center"/>
                  </w:pPr>
                  <w:r>
                    <w:t xml:space="preserve">54.42</w:t>
                  </w:r>
                </w:p>
              </w:tc>
              <w:tc>
                <w:tcPr/>
                <w:p>
                  <w:pPr>
                    <w:pStyle w:val="Compact"/>
                    <w:jc w:val="center"/>
                  </w:pPr>
                  <w:r>
                    <w:t xml:space="preserve">6.81</w:t>
                  </w:r>
                </w:p>
              </w:tc>
            </w:tr>
            <w:tr>
              <w:tc>
                <w:tcPr/>
                <w:p>
                  <w:pPr>
                    <w:pStyle w:val="Compact"/>
                    <w:jc w:val="center"/>
                  </w:pPr>
                  <w:r>
                    <w:t xml:space="preserve">SbII_4</w:t>
                  </w:r>
                </w:p>
              </w:tc>
              <w:tc>
                <w:tcPr/>
                <w:p>
                  <w:pPr>
                    <w:pStyle w:val="Compact"/>
                    <w:jc w:val="center"/>
                  </w:pPr>
                  <w:r>
                    <w:t xml:space="preserve">0.15</w:t>
                  </w:r>
                </w:p>
              </w:tc>
              <w:tc>
                <w:tcPr/>
                <w:p>
                  <w:pPr>
                    <w:pStyle w:val="Compact"/>
                    <w:jc w:val="center"/>
                  </w:pPr>
                  <w:r>
                    <w:t xml:space="preserve">0.25</w:t>
                  </w:r>
                </w:p>
              </w:tc>
              <w:tc>
                <w:tcPr/>
                <w:p>
                  <w:pPr>
                    <w:pStyle w:val="Compact"/>
                    <w:jc w:val="center"/>
                  </w:pPr>
                  <w:r>
                    <w:t xml:space="preserve">0.2</w:t>
                  </w:r>
                </w:p>
              </w:tc>
              <w:tc>
                <w:tcPr/>
                <w:p>
                  <w:pPr>
                    <w:pStyle w:val="Compact"/>
                    <w:jc w:val="center"/>
                  </w:pPr>
                  <w:r>
                    <w:t xml:space="preserve">0.4</w:t>
                  </w:r>
                </w:p>
              </w:tc>
              <w:tc>
                <w:tcPr/>
                <w:p>
                  <w:pPr>
                    <w:pStyle w:val="Compact"/>
                    <w:jc w:val="center"/>
                  </w:pPr>
                  <w:r>
                    <w:t xml:space="preserve">99.92</w:t>
                  </w:r>
                </w:p>
              </w:tc>
              <w:tc>
                <w:tcPr/>
                <w:p>
                  <w:pPr>
                    <w:pStyle w:val="Compact"/>
                    <w:jc w:val="center"/>
                  </w:pPr>
                  <w:r>
                    <w:t xml:space="preserve">59.37</w:t>
                  </w:r>
                </w:p>
              </w:tc>
              <w:tc>
                <w:tcPr/>
                <w:p>
                  <w:pPr>
                    <w:pStyle w:val="Compact"/>
                    <w:jc w:val="center"/>
                  </w:pPr>
                  <w:r>
                    <w:t xml:space="preserve">0.72</w:t>
                  </w:r>
                </w:p>
              </w:tc>
              <w:tc>
                <w:tcPr/>
                <w:p>
                  <w:pPr>
                    <w:pStyle w:val="Compact"/>
                    <w:jc w:val="center"/>
                  </w:pPr>
                  <w:r>
                    <w:t xml:space="preserve">5.95</w:t>
                  </w:r>
                </w:p>
              </w:tc>
            </w:tr>
            <w:tr>
              <w:tc>
                <w:tcPr/>
                <w:p>
                  <w:pPr>
                    <w:pStyle w:val="Compact"/>
                    <w:jc w:val="center"/>
                  </w:pPr>
                  <w:r>
                    <w:t xml:space="preserve">SbII_5</w:t>
                  </w:r>
                </w:p>
              </w:tc>
              <w:tc>
                <w:tcPr/>
                <w:p>
                  <w:pPr>
                    <w:pStyle w:val="Compact"/>
                    <w:jc w:val="center"/>
                  </w:pPr>
                  <w:r>
                    <w:t xml:space="preserve">0.15</w:t>
                  </w:r>
                </w:p>
              </w:tc>
              <w:tc>
                <w:tcPr/>
                <w:p>
                  <w:pPr>
                    <w:pStyle w:val="Compact"/>
                    <w:jc w:val="center"/>
                  </w:pPr>
                  <w:r>
                    <w:t xml:space="preserve">0.25</w:t>
                  </w:r>
                </w:p>
              </w:tc>
              <w:tc>
                <w:tcPr/>
                <w:p>
                  <w:pPr>
                    <w:pStyle w:val="Compact"/>
                    <w:jc w:val="center"/>
                  </w:pPr>
                  <w:r>
                    <w:t xml:space="preserve">0.4</w:t>
                  </w:r>
                </w:p>
              </w:tc>
              <w:tc>
                <w:tcPr/>
                <w:p>
                  <w:pPr>
                    <w:pStyle w:val="Compact"/>
                    <w:jc w:val="center"/>
                  </w:pPr>
                  <w:r>
                    <w:t xml:space="preserve">0.2</w:t>
                  </w:r>
                </w:p>
              </w:tc>
              <w:tc>
                <w:tcPr/>
                <w:p>
                  <w:pPr>
                    <w:pStyle w:val="Compact"/>
                    <w:jc w:val="center"/>
                  </w:pPr>
                  <w:r>
                    <w:t xml:space="preserve">99.92</w:t>
                  </w:r>
                </w:p>
              </w:tc>
              <w:tc>
                <w:tcPr/>
                <w:p>
                  <w:pPr>
                    <w:pStyle w:val="Compact"/>
                    <w:jc w:val="center"/>
                  </w:pPr>
                  <w:r>
                    <w:t xml:space="preserve">74.82</w:t>
                  </w:r>
                </w:p>
              </w:tc>
              <w:tc>
                <w:tcPr/>
                <w:p>
                  <w:pPr>
                    <w:pStyle w:val="Compact"/>
                    <w:jc w:val="center"/>
                  </w:pPr>
                  <w:r>
                    <w:t xml:space="preserve">54.05</w:t>
                  </w:r>
                </w:p>
              </w:tc>
              <w:tc>
                <w:tcPr/>
                <w:p>
                  <w:pPr>
                    <w:pStyle w:val="Compact"/>
                    <w:jc w:val="center"/>
                  </w:pPr>
                  <w:r>
                    <w:t xml:space="preserve">6.86</w:t>
                  </w:r>
                </w:p>
              </w:tc>
            </w:tr>
            <w:tr>
              <w:tc>
                <w:tcPr/>
                <w:p>
                  <w:pPr>
                    <w:pStyle w:val="Compact"/>
                    <w:jc w:val="center"/>
                  </w:pPr>
                  <w:r>
                    <w:t xml:space="preserve">SbII_6</w:t>
                  </w:r>
                </w:p>
              </w:tc>
              <w:tc>
                <w:tcPr/>
                <w:p>
                  <w:pPr>
                    <w:pStyle w:val="Compact"/>
                    <w:jc w:val="center"/>
                  </w:pPr>
                  <w:r>
                    <w:t xml:space="preserve">0.2</w:t>
                  </w:r>
                </w:p>
              </w:tc>
              <w:tc>
                <w:tcPr/>
                <w:p>
                  <w:pPr>
                    <w:pStyle w:val="Compact"/>
                    <w:jc w:val="center"/>
                  </w:pPr>
                  <w:r>
                    <w:t xml:space="preserve">0.15</w:t>
                  </w:r>
                </w:p>
              </w:tc>
              <w:tc>
                <w:tcPr/>
                <w:p>
                  <w:pPr>
                    <w:pStyle w:val="Compact"/>
                    <w:jc w:val="center"/>
                  </w:pPr>
                  <w:r>
                    <w:t xml:space="preserve">0.4</w:t>
                  </w:r>
                </w:p>
              </w:tc>
              <w:tc>
                <w:tcPr/>
                <w:p>
                  <w:pPr>
                    <w:pStyle w:val="Compact"/>
                    <w:jc w:val="center"/>
                  </w:pPr>
                  <w:r>
                    <w:t xml:space="preserve">0.25</w:t>
                  </w:r>
                </w:p>
              </w:tc>
              <w:tc>
                <w:tcPr/>
                <w:p>
                  <w:pPr>
                    <w:pStyle w:val="Compact"/>
                    <w:jc w:val="center"/>
                  </w:pPr>
                  <w:r>
                    <w:t xml:space="preserve">99.93</w:t>
                  </w:r>
                </w:p>
              </w:tc>
              <w:tc>
                <w:tcPr/>
                <w:p>
                  <w:pPr>
                    <w:pStyle w:val="Compact"/>
                    <w:jc w:val="center"/>
                  </w:pPr>
                  <w:r>
                    <w:t xml:space="preserve">73.78</w:t>
                  </w:r>
                </w:p>
              </w:tc>
              <w:tc>
                <w:tcPr/>
                <w:p>
                  <w:pPr>
                    <w:pStyle w:val="Compact"/>
                    <w:jc w:val="center"/>
                  </w:pPr>
                  <w:r>
                    <w:t xml:space="preserve">36.96</w:t>
                  </w:r>
                </w:p>
              </w:tc>
              <w:tc>
                <w:tcPr/>
                <w:p>
                  <w:pPr>
                    <w:pStyle w:val="Compact"/>
                    <w:jc w:val="center"/>
                  </w:pPr>
                  <w:r>
                    <w:t xml:space="preserve">6.55</w:t>
                  </w:r>
                </w:p>
              </w:tc>
            </w:tr>
            <w:tr>
              <w:tc>
                <w:tcPr/>
                <w:p>
                  <w:pPr>
                    <w:pStyle w:val="Compact"/>
                    <w:jc w:val="center"/>
                  </w:pPr>
                  <w:r>
                    <w:t xml:space="preserve">SbII_7</w:t>
                  </w:r>
                </w:p>
              </w:tc>
              <w:tc>
                <w:tcPr/>
                <w:p>
                  <w:pPr>
                    <w:pStyle w:val="Compact"/>
                    <w:jc w:val="center"/>
                  </w:pPr>
                  <w:r>
                    <w:t xml:space="preserve">0.2</w:t>
                  </w:r>
                </w:p>
              </w:tc>
              <w:tc>
                <w:tcPr/>
                <w:p>
                  <w:pPr>
                    <w:pStyle w:val="Compact"/>
                    <w:jc w:val="center"/>
                  </w:pPr>
                  <w:r>
                    <w:t xml:space="preserve">0.15</w:t>
                  </w:r>
                </w:p>
              </w:tc>
              <w:tc>
                <w:tcPr/>
                <w:p>
                  <w:pPr>
                    <w:pStyle w:val="Compact"/>
                    <w:jc w:val="center"/>
                  </w:pPr>
                  <w:r>
                    <w:t xml:space="preserve">0.25</w:t>
                  </w:r>
                </w:p>
              </w:tc>
              <w:tc>
                <w:tcPr/>
                <w:p>
                  <w:pPr>
                    <w:pStyle w:val="Compact"/>
                    <w:jc w:val="center"/>
                  </w:pPr>
                  <w:r>
                    <w:t xml:space="preserve">0.4</w:t>
                  </w:r>
                </w:p>
              </w:tc>
              <w:tc>
                <w:tcPr/>
                <w:p>
                  <w:pPr>
                    <w:pStyle w:val="Compact"/>
                    <w:jc w:val="center"/>
                  </w:pPr>
                  <w:r>
                    <w:t xml:space="preserve">99.95</w:t>
                  </w:r>
                </w:p>
              </w:tc>
              <w:tc>
                <w:tcPr/>
                <w:p>
                  <w:pPr>
                    <w:pStyle w:val="Compact"/>
                    <w:jc w:val="center"/>
                  </w:pPr>
                  <w:r>
                    <w:t xml:space="preserve">40.03</w:t>
                  </w:r>
                </w:p>
              </w:tc>
              <w:tc>
                <w:tcPr/>
                <w:p>
                  <w:pPr>
                    <w:pStyle w:val="Compact"/>
                    <w:jc w:val="center"/>
                  </w:pPr>
                  <w:r>
                    <w:t xml:space="preserve">0.72</w:t>
                  </w:r>
                </w:p>
              </w:tc>
              <w:tc>
                <w:tcPr/>
                <w:p>
                  <w:pPr>
                    <w:pStyle w:val="Compact"/>
                    <w:jc w:val="center"/>
                  </w:pPr>
                  <w:r>
                    <w:t xml:space="preserve">5.86</w:t>
                  </w:r>
                </w:p>
              </w:tc>
            </w:tr>
            <w:tr>
              <w:tc>
                <w:tcPr/>
                <w:p>
                  <w:pPr>
                    <w:pStyle w:val="Compact"/>
                    <w:jc w:val="center"/>
                  </w:pPr>
                  <w:r>
                    <w:t xml:space="preserve">SbII_8</w:t>
                  </w:r>
                </w:p>
              </w:tc>
              <w:tc>
                <w:tcPr/>
                <w:p>
                  <w:pPr>
                    <w:pStyle w:val="Compact"/>
                    <w:jc w:val="center"/>
                  </w:pPr>
                  <w:r>
                    <w:t xml:space="preserve">0.2</w:t>
                  </w:r>
                </w:p>
              </w:tc>
              <w:tc>
                <w:tcPr/>
                <w:p>
                  <w:pPr>
                    <w:pStyle w:val="Compact"/>
                    <w:jc w:val="center"/>
                  </w:pPr>
                  <w:r>
                    <w:t xml:space="preserve">0.4</w:t>
                  </w:r>
                </w:p>
              </w:tc>
              <w:tc>
                <w:tcPr/>
                <w:p>
                  <w:pPr>
                    <w:pStyle w:val="Compact"/>
                    <w:jc w:val="center"/>
                  </w:pPr>
                  <w:r>
                    <w:t xml:space="preserve">0.15</w:t>
                  </w:r>
                </w:p>
              </w:tc>
              <w:tc>
                <w:tcPr/>
                <w:p>
                  <w:pPr>
                    <w:pStyle w:val="Compact"/>
                    <w:jc w:val="center"/>
                  </w:pPr>
                  <w:r>
                    <w:t xml:space="preserve">0.25</w:t>
                  </w:r>
                </w:p>
              </w:tc>
              <w:tc>
                <w:tcPr/>
                <w:p>
                  <w:pPr>
                    <w:pStyle w:val="Compact"/>
                    <w:jc w:val="center"/>
                  </w:pPr>
                  <w:r>
                    <w:t xml:space="preserve">99.96</w:t>
                  </w:r>
                </w:p>
              </w:tc>
              <w:tc>
                <w:tcPr/>
                <w:p>
                  <w:pPr>
                    <w:pStyle w:val="Compact"/>
                    <w:jc w:val="center"/>
                  </w:pPr>
                  <w:r>
                    <w:t xml:space="preserve">59.41</w:t>
                  </w:r>
                </w:p>
              </w:tc>
              <w:tc>
                <w:tcPr/>
                <w:p>
                  <w:pPr>
                    <w:pStyle w:val="Compact"/>
                    <w:jc w:val="center"/>
                  </w:pPr>
                  <w:r>
                    <w:t xml:space="preserve">55.62</w:t>
                  </w:r>
                </w:p>
              </w:tc>
              <w:tc>
                <w:tcPr/>
                <w:p>
                  <w:pPr>
                    <w:pStyle w:val="Compact"/>
                    <w:jc w:val="center"/>
                  </w:pPr>
                  <w:r>
                    <w:t xml:space="preserve">6.45</w:t>
                  </w:r>
                </w:p>
              </w:tc>
            </w:tr>
            <w:tr>
              <w:tc>
                <w:tcPr/>
                <w:p>
                  <w:pPr>
                    <w:pStyle w:val="Compact"/>
                    <w:jc w:val="center"/>
                  </w:pPr>
                  <w:r>
                    <w:t xml:space="preserve">SbII_9</w:t>
                  </w:r>
                </w:p>
              </w:tc>
              <w:tc>
                <w:tcPr/>
                <w:p>
                  <w:pPr>
                    <w:pStyle w:val="Compact"/>
                    <w:jc w:val="center"/>
                  </w:pPr>
                  <w:r>
                    <w:t xml:space="preserve">0.2</w:t>
                  </w:r>
                </w:p>
              </w:tc>
              <w:tc>
                <w:tcPr/>
                <w:p>
                  <w:pPr>
                    <w:pStyle w:val="Compact"/>
                    <w:jc w:val="center"/>
                  </w:pPr>
                  <w:r>
                    <w:t xml:space="preserve">0.4</w:t>
                  </w:r>
                </w:p>
              </w:tc>
              <w:tc>
                <w:tcPr/>
                <w:p>
                  <w:pPr>
                    <w:pStyle w:val="Compact"/>
                    <w:jc w:val="center"/>
                  </w:pPr>
                  <w:r>
                    <w:t xml:space="preserve">0.25</w:t>
                  </w:r>
                </w:p>
              </w:tc>
              <w:tc>
                <w:tcPr/>
                <w:p>
                  <w:pPr>
                    <w:pStyle w:val="Compact"/>
                    <w:jc w:val="center"/>
                  </w:pPr>
                  <w:r>
                    <w:t xml:space="preserve">0.15</w:t>
                  </w:r>
                </w:p>
              </w:tc>
              <w:tc>
                <w:tcPr/>
                <w:p>
                  <w:pPr>
                    <w:pStyle w:val="Compact"/>
                    <w:jc w:val="center"/>
                  </w:pPr>
                  <w:r>
                    <w:t xml:space="preserve">99.94</w:t>
                  </w:r>
                </w:p>
              </w:tc>
              <w:tc>
                <w:tcPr/>
                <w:p>
                  <w:pPr>
                    <w:pStyle w:val="Compact"/>
                    <w:jc w:val="center"/>
                  </w:pPr>
                  <w:r>
                    <w:t xml:space="preserve">58.97</w:t>
                  </w:r>
                </w:p>
              </w:tc>
              <w:tc>
                <w:tcPr/>
                <w:p>
                  <w:pPr>
                    <w:pStyle w:val="Compact"/>
                    <w:jc w:val="center"/>
                  </w:pPr>
                  <w:r>
                    <w:t xml:space="preserve">53.41</w:t>
                  </w:r>
                </w:p>
              </w:tc>
              <w:tc>
                <w:tcPr/>
                <w:p>
                  <w:pPr>
                    <w:pStyle w:val="Compact"/>
                    <w:jc w:val="center"/>
                  </w:pPr>
                  <w:r>
                    <w:t xml:space="preserve">6.91</w:t>
                  </w:r>
                </w:p>
              </w:tc>
            </w:tr>
            <w:tr>
              <w:tc>
                <w:tcPr/>
                <w:p>
                  <w:pPr>
                    <w:pStyle w:val="Compact"/>
                    <w:jc w:val="center"/>
                  </w:pPr>
                  <w:r>
                    <w:t xml:space="preserve">SbII_10</w:t>
                  </w:r>
                </w:p>
              </w:tc>
              <w:tc>
                <w:tcPr/>
                <w:p>
                  <w:pPr>
                    <w:pStyle w:val="Compact"/>
                    <w:jc w:val="center"/>
                  </w:pPr>
                  <w:r>
                    <w:t xml:space="preserve">0.2</w:t>
                  </w:r>
                </w:p>
              </w:tc>
              <w:tc>
                <w:tcPr/>
                <w:p>
                  <w:pPr>
                    <w:pStyle w:val="Compact"/>
                    <w:jc w:val="center"/>
                  </w:pPr>
                  <w:r>
                    <w:t xml:space="preserve">0.25</w:t>
                  </w:r>
                </w:p>
              </w:tc>
              <w:tc>
                <w:tcPr/>
                <w:p>
                  <w:pPr>
                    <w:pStyle w:val="Compact"/>
                    <w:jc w:val="center"/>
                  </w:pPr>
                  <w:r>
                    <w:t xml:space="preserve">0.15</w:t>
                  </w:r>
                </w:p>
              </w:tc>
              <w:tc>
                <w:tcPr/>
                <w:p>
                  <w:pPr>
                    <w:pStyle w:val="Compact"/>
                    <w:jc w:val="center"/>
                  </w:pPr>
                  <w:r>
                    <w:t xml:space="preserve">0.4</w:t>
                  </w:r>
                </w:p>
              </w:tc>
              <w:tc>
                <w:tcPr/>
                <w:p>
                  <w:pPr>
                    <w:pStyle w:val="Compact"/>
                    <w:jc w:val="center"/>
                  </w:pPr>
                  <w:r>
                    <w:t xml:space="preserve">99.89</w:t>
                  </w:r>
                </w:p>
              </w:tc>
              <w:tc>
                <w:tcPr/>
                <w:p>
                  <w:pPr>
                    <w:pStyle w:val="Compact"/>
                    <w:jc w:val="center"/>
                  </w:pPr>
                  <w:r>
                    <w:t xml:space="preserve">59.36</w:t>
                  </w:r>
                </w:p>
              </w:tc>
              <w:tc>
                <w:tcPr/>
                <w:p>
                  <w:pPr>
                    <w:pStyle w:val="Compact"/>
                    <w:jc w:val="center"/>
                  </w:pPr>
                  <w:r>
                    <w:t xml:space="preserve">0.78</w:t>
                  </w:r>
                </w:p>
              </w:tc>
              <w:tc>
                <w:tcPr/>
                <w:p>
                  <w:pPr>
                    <w:pStyle w:val="Compact"/>
                    <w:jc w:val="center"/>
                  </w:pPr>
                  <w:r>
                    <w:t xml:space="preserve">5.82</w:t>
                  </w:r>
                </w:p>
              </w:tc>
            </w:tr>
            <w:tr>
              <w:tc>
                <w:tcPr/>
                <w:p>
                  <w:pPr>
                    <w:pStyle w:val="Compact"/>
                    <w:jc w:val="center"/>
                  </w:pPr>
                  <w:r>
                    <w:t xml:space="preserve">SbII_11</w:t>
                  </w:r>
                </w:p>
              </w:tc>
              <w:tc>
                <w:tcPr/>
                <w:p>
                  <w:pPr>
                    <w:pStyle w:val="Compact"/>
                    <w:jc w:val="center"/>
                  </w:pPr>
                  <w:r>
                    <w:t xml:space="preserve">0.2</w:t>
                  </w:r>
                </w:p>
              </w:tc>
              <w:tc>
                <w:tcPr/>
                <w:p>
                  <w:pPr>
                    <w:pStyle w:val="Compact"/>
                    <w:jc w:val="center"/>
                  </w:pPr>
                  <w:r>
                    <w:t xml:space="preserve">0.25</w:t>
                  </w:r>
                </w:p>
              </w:tc>
              <w:tc>
                <w:tcPr/>
                <w:p>
                  <w:pPr>
                    <w:pStyle w:val="Compact"/>
                    <w:jc w:val="center"/>
                  </w:pPr>
                  <w:r>
                    <w:t xml:space="preserve">0.4</w:t>
                  </w:r>
                </w:p>
              </w:tc>
              <w:tc>
                <w:tcPr/>
                <w:p>
                  <w:pPr>
                    <w:pStyle w:val="Compact"/>
                    <w:jc w:val="center"/>
                  </w:pPr>
                  <w:r>
                    <w:t xml:space="preserve">0.15</w:t>
                  </w:r>
                </w:p>
              </w:tc>
              <w:tc>
                <w:tcPr/>
                <w:p>
                  <w:pPr>
                    <w:pStyle w:val="Compact"/>
                    <w:jc w:val="center"/>
                  </w:pPr>
                  <w:r>
                    <w:t xml:space="preserve">99.93</w:t>
                  </w:r>
                </w:p>
              </w:tc>
              <w:tc>
                <w:tcPr/>
                <w:p>
                  <w:pPr>
                    <w:pStyle w:val="Compact"/>
                    <w:jc w:val="center"/>
                  </w:pPr>
                  <w:r>
                    <w:t xml:space="preserve">94.63</w:t>
                  </w:r>
                </w:p>
              </w:tc>
              <w:tc>
                <w:tcPr/>
                <w:p>
                  <w:pPr>
                    <w:pStyle w:val="Compact"/>
                    <w:jc w:val="center"/>
                  </w:pPr>
                  <w:r>
                    <w:t xml:space="preserve">53.64</w:t>
                  </w:r>
                </w:p>
              </w:tc>
              <w:tc>
                <w:tcPr/>
                <w:p>
                  <w:pPr>
                    <w:pStyle w:val="Compact"/>
                    <w:jc w:val="center"/>
                  </w:pPr>
                  <w:r>
                    <w:t xml:space="preserve">6.97</w:t>
                  </w:r>
                </w:p>
              </w:tc>
            </w:tr>
            <w:tr>
              <w:tc>
                <w:tcPr/>
                <w:p>
                  <w:pPr>
                    <w:pStyle w:val="Compact"/>
                    <w:jc w:val="center"/>
                  </w:pPr>
                  <w:r>
                    <w:t xml:space="preserve">SbII_12</w:t>
                  </w:r>
                </w:p>
              </w:tc>
              <w:tc>
                <w:tcPr/>
                <w:p>
                  <w:pPr>
                    <w:pStyle w:val="Compact"/>
                    <w:jc w:val="center"/>
                  </w:pPr>
                  <w:r>
                    <w:t xml:space="preserve">0.4</w:t>
                  </w:r>
                </w:p>
              </w:tc>
              <w:tc>
                <w:tcPr/>
                <w:p>
                  <w:pPr>
                    <w:pStyle w:val="Compact"/>
                    <w:jc w:val="center"/>
                  </w:pPr>
                  <w:r>
                    <w:t xml:space="preserve">0.15</w:t>
                  </w:r>
                </w:p>
              </w:tc>
              <w:tc>
                <w:tcPr/>
                <w:p>
                  <w:pPr>
                    <w:pStyle w:val="Compact"/>
                    <w:jc w:val="center"/>
                  </w:pPr>
                  <w:r>
                    <w:t xml:space="preserve">0.2</w:t>
                  </w:r>
                </w:p>
              </w:tc>
              <w:tc>
                <w:tcPr/>
                <w:p>
                  <w:pPr>
                    <w:pStyle w:val="Compact"/>
                    <w:jc w:val="center"/>
                  </w:pPr>
                  <w:r>
                    <w:t xml:space="preserve">0.25</w:t>
                  </w:r>
                </w:p>
              </w:tc>
              <w:tc>
                <w:tcPr/>
                <w:p>
                  <w:pPr>
                    <w:pStyle w:val="Compact"/>
                    <w:jc w:val="center"/>
                  </w:pPr>
                  <w:r>
                    <w:t xml:space="preserve">99.97</w:t>
                  </w:r>
                </w:p>
              </w:tc>
              <w:tc>
                <w:tcPr/>
                <w:p>
                  <w:pPr>
                    <w:pStyle w:val="Compact"/>
                    <w:jc w:val="center"/>
                  </w:pPr>
                  <w:r>
                    <w:t xml:space="preserve">58.58</w:t>
                  </w:r>
                </w:p>
              </w:tc>
              <w:tc>
                <w:tcPr/>
                <w:p>
                  <w:pPr>
                    <w:pStyle w:val="Compact"/>
                    <w:jc w:val="center"/>
                  </w:pPr>
                  <w:r>
                    <w:t xml:space="preserve">0.54</w:t>
                  </w:r>
                </w:p>
              </w:tc>
              <w:tc>
                <w:tcPr/>
                <w:p>
                  <w:pPr>
                    <w:pStyle w:val="Compact"/>
                    <w:jc w:val="center"/>
                  </w:pPr>
                  <w:r>
                    <w:t xml:space="preserve">6.04</w:t>
                  </w:r>
                </w:p>
              </w:tc>
            </w:tr>
            <w:tr>
              <w:tc>
                <w:tcPr/>
                <w:p>
                  <w:pPr>
                    <w:pStyle w:val="Compact"/>
                    <w:jc w:val="center"/>
                  </w:pPr>
                  <w:r>
                    <w:t xml:space="preserve">SbII_13</w:t>
                  </w:r>
                </w:p>
              </w:tc>
              <w:tc>
                <w:tcPr/>
                <w:p>
                  <w:pPr>
                    <w:pStyle w:val="Compact"/>
                    <w:jc w:val="center"/>
                  </w:pPr>
                  <w:r>
                    <w:t xml:space="preserve">0.4</w:t>
                  </w:r>
                </w:p>
              </w:tc>
              <w:tc>
                <w:tcPr/>
                <w:p>
                  <w:pPr>
                    <w:pStyle w:val="Compact"/>
                    <w:jc w:val="center"/>
                  </w:pPr>
                  <w:r>
                    <w:t xml:space="preserve">0.15</w:t>
                  </w:r>
                </w:p>
              </w:tc>
              <w:tc>
                <w:tcPr/>
                <w:p>
                  <w:pPr>
                    <w:pStyle w:val="Compact"/>
                    <w:jc w:val="center"/>
                  </w:pPr>
                  <w:r>
                    <w:t xml:space="preserve">0.25</w:t>
                  </w:r>
                </w:p>
              </w:tc>
              <w:tc>
                <w:tcPr/>
                <w:p>
                  <w:pPr>
                    <w:pStyle w:val="Compact"/>
                    <w:jc w:val="center"/>
                  </w:pPr>
                  <w:r>
                    <w:t xml:space="preserve">0.2</w:t>
                  </w:r>
                </w:p>
              </w:tc>
              <w:tc>
                <w:tcPr/>
                <w:p>
                  <w:pPr>
                    <w:pStyle w:val="Compact"/>
                    <w:jc w:val="center"/>
                  </w:pPr>
                  <w:r>
                    <w:t xml:space="preserve">99.96</w:t>
                  </w:r>
                </w:p>
              </w:tc>
              <w:tc>
                <w:tcPr/>
                <w:p>
                  <w:pPr>
                    <w:pStyle w:val="Compact"/>
                    <w:jc w:val="center"/>
                  </w:pPr>
                  <w:r>
                    <w:t xml:space="preserve">58.60</w:t>
                  </w:r>
                </w:p>
              </w:tc>
              <w:tc>
                <w:tcPr/>
                <w:p>
                  <w:pPr>
                    <w:pStyle w:val="Compact"/>
                    <w:jc w:val="center"/>
                  </w:pPr>
                  <w:r>
                    <w:t xml:space="preserve">7.97</w:t>
                  </w:r>
                </w:p>
              </w:tc>
              <w:tc>
                <w:tcPr/>
                <w:p>
                  <w:pPr>
                    <w:pStyle w:val="Compact"/>
                    <w:jc w:val="center"/>
                  </w:pPr>
                  <w:r>
                    <w:t xml:space="preserve">6.27</w:t>
                  </w:r>
                </w:p>
              </w:tc>
            </w:tr>
            <w:tr>
              <w:tc>
                <w:tcPr/>
                <w:p>
                  <w:pPr>
                    <w:pStyle w:val="Compact"/>
                    <w:jc w:val="center"/>
                  </w:pPr>
                  <w:r>
                    <w:t xml:space="preserve">SbII_14</w:t>
                  </w:r>
                </w:p>
              </w:tc>
              <w:tc>
                <w:tcPr/>
                <w:p>
                  <w:pPr>
                    <w:pStyle w:val="Compact"/>
                    <w:jc w:val="center"/>
                  </w:pPr>
                  <w:r>
                    <w:t xml:space="preserve">0.4</w:t>
                  </w:r>
                </w:p>
              </w:tc>
              <w:tc>
                <w:tcPr/>
                <w:p>
                  <w:pPr>
                    <w:pStyle w:val="Compact"/>
                    <w:jc w:val="center"/>
                  </w:pPr>
                  <w:r>
                    <w:t xml:space="preserve">0.2</w:t>
                  </w:r>
                </w:p>
              </w:tc>
              <w:tc>
                <w:tcPr/>
                <w:p>
                  <w:pPr>
                    <w:pStyle w:val="Compact"/>
                    <w:jc w:val="center"/>
                  </w:pPr>
                  <w:r>
                    <w:t xml:space="preserve">0.15</w:t>
                  </w:r>
                </w:p>
              </w:tc>
              <w:tc>
                <w:tcPr/>
                <w:p>
                  <w:pPr>
                    <w:pStyle w:val="Compact"/>
                    <w:jc w:val="center"/>
                  </w:pPr>
                  <w:r>
                    <w:t xml:space="preserve">0.25</w:t>
                  </w:r>
                </w:p>
              </w:tc>
              <w:tc>
                <w:tcPr/>
                <w:p>
                  <w:pPr>
                    <w:pStyle w:val="Compact"/>
                    <w:jc w:val="center"/>
                  </w:pPr>
                  <w:r>
                    <w:t xml:space="preserve">99.97</w:t>
                  </w:r>
                </w:p>
              </w:tc>
              <w:tc>
                <w:tcPr/>
                <w:p>
                  <w:pPr>
                    <w:pStyle w:val="Compact"/>
                    <w:jc w:val="center"/>
                  </w:pPr>
                  <w:r>
                    <w:t xml:space="preserve">58.95</w:t>
                  </w:r>
                </w:p>
              </w:tc>
              <w:tc>
                <w:tcPr/>
                <w:p>
                  <w:pPr>
                    <w:pStyle w:val="Compact"/>
                    <w:jc w:val="center"/>
                  </w:pPr>
                  <w:r>
                    <w:t xml:space="preserve">0.53</w:t>
                  </w:r>
                </w:p>
              </w:tc>
              <w:tc>
                <w:tcPr/>
                <w:p>
                  <w:pPr>
                    <w:pStyle w:val="Compact"/>
                    <w:jc w:val="center"/>
                  </w:pPr>
                  <w:r>
                    <w:t xml:space="preserve">6.02</w:t>
                  </w:r>
                </w:p>
              </w:tc>
            </w:tr>
            <w:tr>
              <w:tc>
                <w:tcPr/>
                <w:p>
                  <w:pPr>
                    <w:pStyle w:val="Compact"/>
                    <w:jc w:val="center"/>
                  </w:pPr>
                  <w:r>
                    <w:t xml:space="preserve">SbII_15</w:t>
                  </w:r>
                </w:p>
              </w:tc>
              <w:tc>
                <w:tcPr/>
                <w:p>
                  <w:pPr>
                    <w:pStyle w:val="Compact"/>
                    <w:jc w:val="center"/>
                  </w:pPr>
                  <w:r>
                    <w:t xml:space="preserve">0.4</w:t>
                  </w:r>
                </w:p>
              </w:tc>
              <w:tc>
                <w:tcPr/>
                <w:p>
                  <w:pPr>
                    <w:pStyle w:val="Compact"/>
                    <w:jc w:val="center"/>
                  </w:pPr>
                  <w:r>
                    <w:t xml:space="preserve">0.2</w:t>
                  </w:r>
                </w:p>
              </w:tc>
              <w:tc>
                <w:tcPr/>
                <w:p>
                  <w:pPr>
                    <w:pStyle w:val="Compact"/>
                    <w:jc w:val="center"/>
                  </w:pPr>
                  <w:r>
                    <w:t xml:space="preserve">0.25</w:t>
                  </w:r>
                </w:p>
              </w:tc>
              <w:tc>
                <w:tcPr/>
                <w:p>
                  <w:pPr>
                    <w:pStyle w:val="Compact"/>
                    <w:jc w:val="center"/>
                  </w:pPr>
                  <w:r>
                    <w:t xml:space="preserve">0.15</w:t>
                  </w:r>
                </w:p>
              </w:tc>
              <w:tc>
                <w:tcPr/>
                <w:p>
                  <w:pPr>
                    <w:pStyle w:val="Compact"/>
                    <w:jc w:val="center"/>
                  </w:pPr>
                  <w:r>
                    <w:t xml:space="preserve">99.97</w:t>
                  </w:r>
                </w:p>
              </w:tc>
              <w:tc>
                <w:tcPr/>
                <w:p>
                  <w:pPr>
                    <w:pStyle w:val="Compact"/>
                    <w:jc w:val="center"/>
                  </w:pPr>
                  <w:r>
                    <w:t xml:space="preserve">58.63</w:t>
                  </w:r>
                </w:p>
              </w:tc>
              <w:tc>
                <w:tcPr/>
                <w:p>
                  <w:pPr>
                    <w:pStyle w:val="Compact"/>
                    <w:jc w:val="center"/>
                  </w:pPr>
                  <w:r>
                    <w:t xml:space="preserve">36.33</w:t>
                  </w:r>
                </w:p>
              </w:tc>
              <w:tc>
                <w:tcPr/>
                <w:p>
                  <w:pPr>
                    <w:pStyle w:val="Compact"/>
                    <w:jc w:val="center"/>
                  </w:pPr>
                  <w:r>
                    <w:t xml:space="preserve">6.48</w:t>
                  </w:r>
                </w:p>
              </w:tc>
            </w:tr>
            <w:tr>
              <w:tc>
                <w:tcPr/>
                <w:p>
                  <w:pPr>
                    <w:pStyle w:val="Compact"/>
                    <w:jc w:val="center"/>
                  </w:pPr>
                  <w:r>
                    <w:t xml:space="preserve">SbII_16</w:t>
                  </w:r>
                </w:p>
              </w:tc>
              <w:tc>
                <w:tcPr/>
                <w:p>
                  <w:pPr>
                    <w:pStyle w:val="Compact"/>
                    <w:jc w:val="center"/>
                  </w:pPr>
                  <w:r>
                    <w:t xml:space="preserve">0.4</w:t>
                  </w:r>
                </w:p>
              </w:tc>
              <w:tc>
                <w:tcPr/>
                <w:p>
                  <w:pPr>
                    <w:pStyle w:val="Compact"/>
                    <w:jc w:val="center"/>
                  </w:pPr>
                  <w:r>
                    <w:t xml:space="preserve">0.25</w:t>
                  </w:r>
                </w:p>
              </w:tc>
              <w:tc>
                <w:tcPr/>
                <w:p>
                  <w:pPr>
                    <w:pStyle w:val="Compact"/>
                    <w:jc w:val="center"/>
                  </w:pPr>
                  <w:r>
                    <w:t xml:space="preserve">0.15</w:t>
                  </w:r>
                </w:p>
              </w:tc>
              <w:tc>
                <w:tcPr/>
                <w:p>
                  <w:pPr>
                    <w:pStyle w:val="Compact"/>
                    <w:jc w:val="center"/>
                  </w:pPr>
                  <w:r>
                    <w:t xml:space="preserve">0.2</w:t>
                  </w:r>
                </w:p>
              </w:tc>
              <w:tc>
                <w:tcPr/>
                <w:p>
                  <w:pPr>
                    <w:pStyle w:val="Compact"/>
                    <w:jc w:val="center"/>
                  </w:pPr>
                  <w:r>
                    <w:t xml:space="preserve">99.97</w:t>
                  </w:r>
                </w:p>
              </w:tc>
              <w:tc>
                <w:tcPr/>
                <w:p>
                  <w:pPr>
                    <w:pStyle w:val="Compact"/>
                    <w:jc w:val="center"/>
                  </w:pPr>
                  <w:r>
                    <w:t xml:space="preserve">61.61</w:t>
                  </w:r>
                </w:p>
              </w:tc>
              <w:tc>
                <w:tcPr/>
                <w:p>
                  <w:pPr>
                    <w:pStyle w:val="Compact"/>
                    <w:jc w:val="center"/>
                  </w:pPr>
                  <w:r>
                    <w:t xml:space="preserve">7.89</w:t>
                  </w:r>
                </w:p>
              </w:tc>
              <w:tc>
                <w:tcPr/>
                <w:p>
                  <w:pPr>
                    <w:pStyle w:val="Compact"/>
                    <w:jc w:val="center"/>
                  </w:pPr>
                  <w:r>
                    <w:t xml:space="preserve">6.23</w:t>
                  </w:r>
                </w:p>
              </w:tc>
            </w:tr>
            <w:tr>
              <w:tc>
                <w:tcPr/>
                <w:p>
                  <w:pPr>
                    <w:pStyle w:val="Compact"/>
                    <w:jc w:val="center"/>
                  </w:pPr>
                  <w:r>
                    <w:t xml:space="preserve">SbII_17</w:t>
                  </w:r>
                </w:p>
              </w:tc>
              <w:tc>
                <w:tcPr/>
                <w:p>
                  <w:pPr>
                    <w:pStyle w:val="Compact"/>
                    <w:jc w:val="center"/>
                  </w:pPr>
                  <w:r>
                    <w:t xml:space="preserve">0.4</w:t>
                  </w:r>
                </w:p>
              </w:tc>
              <w:tc>
                <w:tcPr/>
                <w:p>
                  <w:pPr>
                    <w:pStyle w:val="Compact"/>
                    <w:jc w:val="center"/>
                  </w:pPr>
                  <w:r>
                    <w:t xml:space="preserve">0.25</w:t>
                  </w:r>
                </w:p>
              </w:tc>
              <w:tc>
                <w:tcPr/>
                <w:p>
                  <w:pPr>
                    <w:pStyle w:val="Compact"/>
                    <w:jc w:val="center"/>
                  </w:pPr>
                  <w:r>
                    <w:t xml:space="preserve">0.2</w:t>
                  </w:r>
                </w:p>
              </w:tc>
              <w:tc>
                <w:tcPr/>
                <w:p>
                  <w:pPr>
                    <w:pStyle w:val="Compact"/>
                    <w:jc w:val="center"/>
                  </w:pPr>
                  <w:r>
                    <w:t xml:space="preserve">0.15</w:t>
                  </w:r>
                </w:p>
              </w:tc>
              <w:tc>
                <w:tcPr/>
                <w:p>
                  <w:pPr>
                    <w:pStyle w:val="Compact"/>
                    <w:jc w:val="center"/>
                  </w:pPr>
                  <w:r>
                    <w:t xml:space="preserve">99.97</w:t>
                  </w:r>
                </w:p>
              </w:tc>
              <w:tc>
                <w:tcPr/>
                <w:p>
                  <w:pPr>
                    <w:pStyle w:val="Compact"/>
                    <w:jc w:val="center"/>
                  </w:pPr>
                  <w:r>
                    <w:t xml:space="preserve">61.63</w:t>
                  </w:r>
                </w:p>
              </w:tc>
              <w:tc>
                <w:tcPr/>
                <w:p>
                  <w:pPr>
                    <w:pStyle w:val="Compact"/>
                    <w:jc w:val="center"/>
                  </w:pPr>
                  <w:r>
                    <w:t xml:space="preserve">36.38</w:t>
                  </w:r>
                </w:p>
              </w:tc>
              <w:tc>
                <w:tcPr/>
                <w:p>
                  <w:pPr>
                    <w:pStyle w:val="Compact"/>
                    <w:jc w:val="center"/>
                  </w:pPr>
                  <w:r>
                    <w:t xml:space="preserve">6.46</w:t>
                  </w:r>
                </w:p>
              </w:tc>
            </w:tr>
            <w:tr>
              <w:tc>
                <w:tcPr/>
                <w:p>
                  <w:pPr>
                    <w:pStyle w:val="Compact"/>
                    <w:jc w:val="center"/>
                  </w:pPr>
                  <w:r>
                    <w:t xml:space="preserve">SbII_18</w:t>
                  </w:r>
                </w:p>
              </w:tc>
              <w:tc>
                <w:tcPr/>
                <w:p>
                  <w:pPr>
                    <w:pStyle w:val="Compact"/>
                    <w:jc w:val="center"/>
                  </w:pPr>
                  <w:r>
                    <w:t xml:space="preserve">0.25</w:t>
                  </w:r>
                </w:p>
              </w:tc>
              <w:tc>
                <w:tcPr/>
                <w:p>
                  <w:pPr>
                    <w:pStyle w:val="Compact"/>
                    <w:jc w:val="center"/>
                  </w:pPr>
                  <w:r>
                    <w:t xml:space="preserve">0.15</w:t>
                  </w:r>
                </w:p>
              </w:tc>
              <w:tc>
                <w:tcPr/>
                <w:p>
                  <w:pPr>
                    <w:pStyle w:val="Compact"/>
                    <w:jc w:val="center"/>
                  </w:pPr>
                  <w:r>
                    <w:t xml:space="preserve">0.2</w:t>
                  </w:r>
                </w:p>
              </w:tc>
              <w:tc>
                <w:tcPr/>
                <w:p>
                  <w:pPr>
                    <w:pStyle w:val="Compact"/>
                    <w:jc w:val="center"/>
                  </w:pPr>
                  <w:r>
                    <w:t xml:space="preserve">0.4</w:t>
                  </w:r>
                </w:p>
              </w:tc>
              <w:tc>
                <w:tcPr/>
                <w:p>
                  <w:pPr>
                    <w:pStyle w:val="Compact"/>
                    <w:jc w:val="center"/>
                  </w:pPr>
                  <w:r>
                    <w:t xml:space="preserve">99.92</w:t>
                  </w:r>
                </w:p>
              </w:tc>
              <w:tc>
                <w:tcPr/>
                <w:p>
                  <w:pPr>
                    <w:pStyle w:val="Compact"/>
                    <w:jc w:val="center"/>
                  </w:pPr>
                  <w:r>
                    <w:t xml:space="preserve">13.23</w:t>
                  </w:r>
                </w:p>
              </w:tc>
              <w:tc>
                <w:tcPr/>
                <w:p>
                  <w:pPr>
                    <w:pStyle w:val="Compact"/>
                    <w:jc w:val="center"/>
                  </w:pPr>
                  <w:r>
                    <w:t xml:space="preserve">0.72</w:t>
                  </w:r>
                </w:p>
              </w:tc>
              <w:tc>
                <w:tcPr/>
                <w:p>
                  <w:pPr>
                    <w:pStyle w:val="Compact"/>
                    <w:jc w:val="center"/>
                  </w:pPr>
                  <w:r>
                    <w:t xml:space="preserve">5.73</w:t>
                  </w:r>
                </w:p>
              </w:tc>
            </w:tr>
            <w:tr>
              <w:tc>
                <w:tcPr/>
                <w:p>
                  <w:pPr>
                    <w:pStyle w:val="Compact"/>
                    <w:jc w:val="center"/>
                  </w:pPr>
                  <w:r>
                    <w:t xml:space="preserve">SbII_19</w:t>
                  </w:r>
                </w:p>
              </w:tc>
              <w:tc>
                <w:tcPr/>
                <w:p>
                  <w:pPr>
                    <w:pStyle w:val="Compact"/>
                    <w:jc w:val="center"/>
                  </w:pPr>
                  <w:r>
                    <w:t xml:space="preserve">0.25</w:t>
                  </w:r>
                </w:p>
              </w:tc>
              <w:tc>
                <w:tcPr/>
                <w:p>
                  <w:pPr>
                    <w:pStyle w:val="Compact"/>
                    <w:jc w:val="center"/>
                  </w:pPr>
                  <w:r>
                    <w:t xml:space="preserve">0.15</w:t>
                  </w:r>
                </w:p>
              </w:tc>
              <w:tc>
                <w:tcPr/>
                <w:p>
                  <w:pPr>
                    <w:pStyle w:val="Compact"/>
                    <w:jc w:val="center"/>
                  </w:pPr>
                  <w:r>
                    <w:t xml:space="preserve">0.4</w:t>
                  </w:r>
                </w:p>
              </w:tc>
              <w:tc>
                <w:tcPr/>
                <w:p>
                  <w:pPr>
                    <w:pStyle w:val="Compact"/>
                    <w:jc w:val="center"/>
                  </w:pPr>
                  <w:r>
                    <w:t xml:space="preserve">0.2</w:t>
                  </w:r>
                </w:p>
              </w:tc>
              <w:tc>
                <w:tcPr/>
                <w:p>
                  <w:pPr>
                    <w:pStyle w:val="Compact"/>
                    <w:jc w:val="center"/>
                  </w:pPr>
                  <w:r>
                    <w:t xml:space="preserve">99.93</w:t>
                  </w:r>
                </w:p>
              </w:tc>
              <w:tc>
                <w:tcPr/>
                <w:p>
                  <w:pPr>
                    <w:pStyle w:val="Compact"/>
                    <w:jc w:val="center"/>
                  </w:pPr>
                  <w:r>
                    <w:t xml:space="preserve">73.80</w:t>
                  </w:r>
                </w:p>
              </w:tc>
              <w:tc>
                <w:tcPr/>
                <w:p>
                  <w:pPr>
                    <w:pStyle w:val="Compact"/>
                    <w:jc w:val="center"/>
                  </w:pPr>
                  <w:r>
                    <w:t xml:space="preserve">36.97</w:t>
                  </w:r>
                </w:p>
              </w:tc>
              <w:tc>
                <w:tcPr/>
                <w:p>
                  <w:pPr>
                    <w:pStyle w:val="Compact"/>
                    <w:jc w:val="center"/>
                  </w:pPr>
                  <w:r>
                    <w:t xml:space="preserve">6.65</w:t>
                  </w:r>
                </w:p>
              </w:tc>
            </w:tr>
            <w:tr>
              <w:tc>
                <w:tcPr/>
                <w:p>
                  <w:pPr>
                    <w:pStyle w:val="Compact"/>
                    <w:jc w:val="center"/>
                  </w:pPr>
                  <w:r>
                    <w:t xml:space="preserve">SbII_20</w:t>
                  </w:r>
                </w:p>
              </w:tc>
              <w:tc>
                <w:tcPr/>
                <w:p>
                  <w:pPr>
                    <w:pStyle w:val="Compact"/>
                    <w:jc w:val="center"/>
                  </w:pPr>
                  <w:r>
                    <w:t xml:space="preserve">0.25</w:t>
                  </w:r>
                </w:p>
              </w:tc>
              <w:tc>
                <w:tcPr/>
                <w:p>
                  <w:pPr>
                    <w:pStyle w:val="Compact"/>
                    <w:jc w:val="center"/>
                  </w:pPr>
                  <w:r>
                    <w:t xml:space="preserve">0.2</w:t>
                  </w:r>
                </w:p>
              </w:tc>
              <w:tc>
                <w:tcPr/>
                <w:p>
                  <w:pPr>
                    <w:pStyle w:val="Compact"/>
                    <w:jc w:val="center"/>
                  </w:pPr>
                  <w:r>
                    <w:t xml:space="preserve">0.15</w:t>
                  </w:r>
                </w:p>
              </w:tc>
              <w:tc>
                <w:tcPr/>
                <w:p>
                  <w:pPr>
                    <w:pStyle w:val="Compact"/>
                    <w:jc w:val="center"/>
                  </w:pPr>
                  <w:r>
                    <w:t xml:space="preserve">0.4</w:t>
                  </w:r>
                </w:p>
              </w:tc>
              <w:tc>
                <w:tcPr/>
                <w:p>
                  <w:pPr>
                    <w:pStyle w:val="Compact"/>
                    <w:jc w:val="center"/>
                  </w:pPr>
                  <w:r>
                    <w:t xml:space="preserve">99.92</w:t>
                  </w:r>
                </w:p>
              </w:tc>
              <w:tc>
                <w:tcPr/>
                <w:p>
                  <w:pPr>
                    <w:pStyle w:val="Compact"/>
                    <w:jc w:val="center"/>
                  </w:pPr>
                  <w:r>
                    <w:t xml:space="preserve">42.42</w:t>
                  </w:r>
                </w:p>
              </w:tc>
              <w:tc>
                <w:tcPr/>
                <w:p>
                  <w:pPr>
                    <w:pStyle w:val="Compact"/>
                    <w:jc w:val="center"/>
                  </w:pPr>
                  <w:r>
                    <w:t xml:space="preserve">0.72</w:t>
                  </w:r>
                </w:p>
              </w:tc>
              <w:tc>
                <w:tcPr/>
                <w:p>
                  <w:pPr>
                    <w:pStyle w:val="Compact"/>
                    <w:jc w:val="center"/>
                  </w:pPr>
                  <w:r>
                    <w:t xml:space="preserve">5.71</w:t>
                  </w:r>
                </w:p>
              </w:tc>
            </w:tr>
            <w:tr>
              <w:tc>
                <w:tcPr/>
                <w:p>
                  <w:pPr>
                    <w:pStyle w:val="Compact"/>
                    <w:jc w:val="center"/>
                  </w:pPr>
                  <w:r>
                    <w:t xml:space="preserve">SbII_21</w:t>
                  </w:r>
                </w:p>
              </w:tc>
              <w:tc>
                <w:tcPr/>
                <w:p>
                  <w:pPr>
                    <w:pStyle w:val="Compact"/>
                    <w:jc w:val="center"/>
                  </w:pPr>
                  <w:r>
                    <w:t xml:space="preserve">0.25</w:t>
                  </w:r>
                </w:p>
              </w:tc>
              <w:tc>
                <w:tcPr/>
                <w:p>
                  <w:pPr>
                    <w:pStyle w:val="Compact"/>
                    <w:jc w:val="center"/>
                  </w:pPr>
                  <w:r>
                    <w:t xml:space="preserve">0.2</w:t>
                  </w:r>
                </w:p>
              </w:tc>
              <w:tc>
                <w:tcPr/>
                <w:p>
                  <w:pPr>
                    <w:pStyle w:val="Compact"/>
                    <w:jc w:val="center"/>
                  </w:pPr>
                  <w:r>
                    <w:t xml:space="preserve">0.4</w:t>
                  </w:r>
                </w:p>
              </w:tc>
              <w:tc>
                <w:tcPr/>
                <w:p>
                  <w:pPr>
                    <w:pStyle w:val="Compact"/>
                    <w:jc w:val="center"/>
                  </w:pPr>
                  <w:r>
                    <w:t xml:space="preserve">0.15</w:t>
                  </w:r>
                </w:p>
              </w:tc>
              <w:tc>
                <w:tcPr/>
                <w:p>
                  <w:pPr>
                    <w:pStyle w:val="Compact"/>
                    <w:jc w:val="center"/>
                  </w:pPr>
                  <w:r>
                    <w:t xml:space="preserve">99.92</w:t>
                  </w:r>
                </w:p>
              </w:tc>
              <w:tc>
                <w:tcPr/>
                <w:p>
                  <w:pPr>
                    <w:pStyle w:val="Compact"/>
                    <w:jc w:val="center"/>
                  </w:pPr>
                  <w:r>
                    <w:t xml:space="preserve">94.56</w:t>
                  </w:r>
                </w:p>
              </w:tc>
              <w:tc>
                <w:tcPr/>
                <w:p>
                  <w:pPr>
                    <w:pStyle w:val="Compact"/>
                    <w:jc w:val="center"/>
                  </w:pPr>
                  <w:r>
                    <w:t xml:space="preserve">53.63</w:t>
                  </w:r>
                </w:p>
              </w:tc>
              <w:tc>
                <w:tcPr/>
                <w:p>
                  <w:pPr>
                    <w:pStyle w:val="Compact"/>
                    <w:jc w:val="center"/>
                  </w:pPr>
                  <w:r>
                    <w:t xml:space="preserve">6.86</w:t>
                  </w:r>
                </w:p>
              </w:tc>
            </w:tr>
            <w:tr>
              <w:tc>
                <w:tcPr/>
                <w:p>
                  <w:pPr>
                    <w:pStyle w:val="Compact"/>
                    <w:jc w:val="center"/>
                  </w:pPr>
                  <w:r>
                    <w:t xml:space="preserve">SbII_22</w:t>
                  </w:r>
                </w:p>
              </w:tc>
              <w:tc>
                <w:tcPr/>
                <w:p>
                  <w:pPr>
                    <w:pStyle w:val="Compact"/>
                    <w:jc w:val="center"/>
                  </w:pPr>
                  <w:r>
                    <w:t xml:space="preserve">0.25</w:t>
                  </w:r>
                </w:p>
              </w:tc>
              <w:tc>
                <w:tcPr/>
                <w:p>
                  <w:pPr>
                    <w:pStyle w:val="Compact"/>
                    <w:jc w:val="center"/>
                  </w:pPr>
                  <w:r>
                    <w:t xml:space="preserve">0.4</w:t>
                  </w:r>
                </w:p>
              </w:tc>
              <w:tc>
                <w:tcPr/>
                <w:p>
                  <w:pPr>
                    <w:pStyle w:val="Compact"/>
                    <w:jc w:val="center"/>
                  </w:pPr>
                  <w:r>
                    <w:t xml:space="preserve">0.15</w:t>
                  </w:r>
                </w:p>
              </w:tc>
              <w:tc>
                <w:tcPr/>
                <w:p>
                  <w:pPr>
                    <w:pStyle w:val="Compact"/>
                    <w:jc w:val="center"/>
                  </w:pPr>
                  <w:r>
                    <w:t xml:space="preserve">0.2</w:t>
                  </w:r>
                </w:p>
              </w:tc>
              <w:tc>
                <w:tcPr/>
                <w:p>
                  <w:pPr>
                    <w:pStyle w:val="Compact"/>
                    <w:jc w:val="center"/>
                  </w:pPr>
                  <w:r>
                    <w:t xml:space="preserve">99.97</w:t>
                  </w:r>
                </w:p>
              </w:tc>
              <w:tc>
                <w:tcPr/>
                <w:p>
                  <w:pPr>
                    <w:pStyle w:val="Compact"/>
                    <w:jc w:val="center"/>
                  </w:pPr>
                  <w:r>
                    <w:t xml:space="preserve">59.41</w:t>
                  </w:r>
                </w:p>
              </w:tc>
              <w:tc>
                <w:tcPr/>
                <w:p>
                  <w:pPr>
                    <w:pStyle w:val="Compact"/>
                    <w:jc w:val="center"/>
                  </w:pPr>
                  <w:r>
                    <w:t xml:space="preserve">55.62</w:t>
                  </w:r>
                </w:p>
              </w:tc>
              <w:tc>
                <w:tcPr/>
                <w:p>
                  <w:pPr>
                    <w:pStyle w:val="Compact"/>
                    <w:jc w:val="center"/>
                  </w:pPr>
                  <w:r>
                    <w:t xml:space="preserve">6.55</w:t>
                  </w:r>
                </w:p>
              </w:tc>
            </w:tr>
            <w:tr>
              <w:tc>
                <w:tcPr/>
                <w:p>
                  <w:pPr>
                    <w:pStyle w:val="Compact"/>
                    <w:jc w:val="center"/>
                  </w:pPr>
                  <w:r>
                    <w:t xml:space="preserve">SbII_23</w:t>
                  </w:r>
                </w:p>
              </w:tc>
              <w:tc>
                <w:tcPr/>
                <w:p>
                  <w:pPr>
                    <w:pStyle w:val="Compact"/>
                    <w:jc w:val="center"/>
                  </w:pPr>
                  <w:r>
                    <w:t xml:space="preserve">0.25</w:t>
                  </w:r>
                </w:p>
              </w:tc>
              <w:tc>
                <w:tcPr/>
                <w:p>
                  <w:pPr>
                    <w:pStyle w:val="Compact"/>
                    <w:jc w:val="center"/>
                  </w:pPr>
                  <w:r>
                    <w:t xml:space="preserve">0.4</w:t>
                  </w:r>
                </w:p>
              </w:tc>
              <w:tc>
                <w:tcPr/>
                <w:p>
                  <w:pPr>
                    <w:pStyle w:val="Compact"/>
                    <w:jc w:val="center"/>
                  </w:pPr>
                  <w:r>
                    <w:t xml:space="preserve">0.2</w:t>
                  </w:r>
                </w:p>
              </w:tc>
              <w:tc>
                <w:tcPr/>
                <w:p>
                  <w:pPr>
                    <w:pStyle w:val="Compact"/>
                    <w:jc w:val="center"/>
                  </w:pPr>
                  <w:r>
                    <w:t xml:space="preserve">0.15</w:t>
                  </w:r>
                </w:p>
              </w:tc>
              <w:tc>
                <w:tcPr/>
                <w:p>
                  <w:pPr>
                    <w:pStyle w:val="Compact"/>
                    <w:jc w:val="center"/>
                  </w:pPr>
                  <w:r>
                    <w:t xml:space="preserve">99.97</w:t>
                  </w:r>
                </w:p>
              </w:tc>
              <w:tc>
                <w:tcPr/>
                <w:p>
                  <w:pPr>
                    <w:pStyle w:val="Compact"/>
                    <w:jc w:val="center"/>
                  </w:pPr>
                  <w:r>
                    <w:t xml:space="preserve">59.53</w:t>
                  </w:r>
                </w:p>
              </w:tc>
              <w:tc>
                <w:tcPr/>
                <w:p>
                  <w:pPr>
                    <w:pStyle w:val="Compact"/>
                    <w:jc w:val="center"/>
                  </w:pPr>
                  <w:r>
                    <w:t xml:space="preserve">54.35</w:t>
                  </w:r>
                </w:p>
              </w:tc>
              <w:tc>
                <w:tcPr/>
                <w:p>
                  <w:pPr>
                    <w:pStyle w:val="Compact"/>
                    <w:jc w:val="center"/>
                  </w:pPr>
                  <w:r>
                    <w:t xml:space="preserve">6.78</w:t>
                  </w:r>
                </w:p>
              </w:tc>
            </w:tr>
          </w:tbl>
          <w:bookmarkEnd w:id="367"/>
          <w:p/>
        </w:tc>
      </w:tr>
    </w:tbl>
    <w:p>
      <w:pPr>
        <w:pStyle w:val="BodyText"/>
      </w:pPr>
      <w:r>
        <w:t xml:space="preserve"> </w:t>
      </w:r>
    </w:p>
    <w:tbl>
      <w:tblPr>
        <w:tblStyle w:val="Table"/>
        <w:tblW w:type="pct" w:w="5000"/>
        <w:tblLayout w:type="fixed"/>
        <w:tblLook w:firstRow="0" w:lastRow="0" w:firstColumn="0" w:lastColumn="0" w:noHBand="0" w:noVBand="0" w:val="0000"/>
      </w:tblPr>
      <w:tblGrid>
        <w:gridCol w:w="7920"/>
      </w:tblGrid>
      <w:tr>
        <w:tc>
          <w:tcPr/>
          <w:bookmarkStart w:id="371" w:name="fig-sa-sbii-w"/>
          <w:p>
            <w:pPr>
              <w:pStyle w:val="Compact"/>
              <w:jc w:val="center"/>
            </w:pPr>
            <w:r>
              <w:drawing>
                <wp:inline>
                  <wp:extent cx="5334000" cy="4973230"/>
                  <wp:effectExtent b="0" l="0" r="0" t="0"/>
                  <wp:docPr descr="" title="" id="369" name="Picture"/>
                  <a:graphic>
                    <a:graphicData uri="http://schemas.openxmlformats.org/drawingml/2006/picture">
                      <pic:pic>
                        <pic:nvPicPr>
                          <pic:cNvPr descr="images/fig-sa-sbii-w.jpg" id="370" name="Picture"/>
                          <pic:cNvPicPr>
                            <a:picLocks noChangeArrowheads="1" noChangeAspect="1"/>
                          </pic:cNvPicPr>
                        </pic:nvPicPr>
                        <pic:blipFill>
                          <a:blip r:embed="rId368"/>
                          <a:stretch>
                            <a:fillRect/>
                          </a:stretch>
                        </pic:blipFill>
                        <pic:spPr bwMode="auto">
                          <a:xfrm>
                            <a:off x="0" y="0"/>
                            <a:ext cx="5334000" cy="4973230"/>
                          </a:xfrm>
                          <a:prstGeom prst="rect">
                            <a:avLst/>
                          </a:prstGeom>
                          <a:noFill/>
                          <a:ln w="9525">
                            <a:noFill/>
                            <a:headEnd/>
                            <a:tailEnd/>
                          </a:ln>
                        </pic:spPr>
                      </pic:pic>
                    </a:graphicData>
                  </a:graphic>
                </wp:inline>
              </w:drawing>
            </w:r>
          </w:p>
          <w:p>
            <w:pPr>
              <w:jc w:val="center"/>
            </w:pPr>
            <w:pPr>
              <w:jc w:val="start"/>
              <w:spacing w:before="200"/>
              <w:pStyle w:val="ImageCaption"/>
            </w:pPr>
            <w:r>
              <w:t xml:space="preserve">Figure 21: Pixel values across 24 weighting scenarios of SbII. We can see relatively low CoV, maxing out at around 0.13, suggesting that variable weighting does not significantly affect the value of individual pixels. However, the range of pixel values is quite large, about 2.25 in some places.</w:t>
            </w:r>
          </w:p>
          <w:bookmarkEnd w:id="371"/>
        </w:tc>
      </w:tr>
    </w:tbl>
    <w:p>
      <w:pPr>
        <w:pStyle w:val="BodyText"/>
      </w:pPr>
      <w:r>
        <w:t xml:space="preserve"> </w:t>
      </w:r>
    </w:p>
    <w:tbl>
      <w:tblPr>
        <w:tblStyle w:val="Table"/>
        <w:tblW w:type="pct" w:w="5000"/>
        <w:tblLayout w:type="fixed"/>
        <w:tblLook w:firstRow="0" w:lastRow="0" w:firstColumn="0" w:lastColumn="0" w:noHBand="0" w:noVBand="0" w:val="0000"/>
      </w:tblPr>
      <w:tblGrid>
        <w:gridCol w:w="7920"/>
      </w:tblGrid>
      <w:tr>
        <w:tc>
          <w:tcPr/>
          <w:bookmarkStart w:id="372" w:name="tbl-sa-sbii-r"/>
          <w:p>
            <w:pPr>
              <w:jc w:val="center"/>
            </w:pPr>
            <w:pPr>
              <w:jc w:val="start"/>
              <w:spacing w:before="200"/>
              <w:pStyle w:val="ImageCaption"/>
            </w:pPr>
            <w:r>
              <w:t xml:space="preserve">Table 13: Variable removal SbII results. Sensitivity analysis on subsurface infiltration index (SbII) with removal of variables One-at-a-Time (OAT) and equal weighting for the ’None condition. The values from the row in bold were used in the primary analysis.</w:t>
            </w:r>
          </w:p>
          <w:tbl>
            <w:tblPr>
              <w:tblStyle w:val="Table"/>
              <w:tblW w:type="auto" w:w="0"/>
              <w:tblLook w:firstRow="1" w:lastRow="0" w:firstColumn="0" w:lastColumn="0" w:noHBand="0" w:noVBand="0" w:val="0020"/>
            </w:tblPr>
            <w:tblGrid>
              <w:gridCol w:w="1584"/>
              <w:gridCol w:w="1584"/>
              <w:gridCol w:w="1584"/>
              <w:gridCol w:w="1584"/>
              <w:gridCol w:w="1584"/>
            </w:tblGrid>
            <w:tr>
              <w:trPr>
                <w:tblHeader w:val="on"/>
              </w:trPr>
              <w:tc>
                <w:tcPr/>
                <w:p>
                  <w:pPr>
                    <w:pStyle w:val="Compact"/>
                    <w:jc w:val="center"/>
                  </w:pPr>
                  <w:r>
                    <w:t xml:space="preserve">Removed</w:t>
                  </w:r>
                </w:p>
              </w:tc>
              <w:tc>
                <w:tcPr/>
                <w:p>
                  <w:pPr>
                    <w:pStyle w:val="Compact"/>
                    <w:jc w:val="center"/>
                  </w:pPr>
                  <w:r>
                    <w:t xml:space="preserve">% &gt; 5</w:t>
                  </w:r>
                </w:p>
              </w:tc>
              <w:tc>
                <w:tcPr/>
                <w:p>
                  <w:pPr>
                    <w:pStyle w:val="Compact"/>
                    <w:jc w:val="center"/>
                  </w:pPr>
                  <w:r>
                    <w:t xml:space="preserve">% &gt; 6</w:t>
                  </w:r>
                </w:p>
              </w:tc>
              <w:tc>
                <w:tcPr/>
                <w:p>
                  <w:pPr>
                    <w:pStyle w:val="Compact"/>
                    <w:jc w:val="center"/>
                  </w:pPr>
                  <w:r>
                    <w:t xml:space="preserve">% &gt; 7</w:t>
                  </w:r>
                </w:p>
              </w:tc>
              <w:tc>
                <w:tcPr/>
                <w:p>
                  <w:pPr>
                    <w:pStyle w:val="Compact"/>
                    <w:jc w:val="center"/>
                  </w:pPr>
                  <w:r>
                    <w:t xml:space="preserve">Mean</w:t>
                  </w:r>
                </w:p>
              </w:tc>
            </w:tr>
            <w:tr>
              <w:tc>
                <w:tcPr/>
                <w:p>
                  <w:pPr>
                    <w:pStyle w:val="Compact"/>
                    <w:jc w:val="center"/>
                  </w:pPr>
                  <w:r>
                    <w:rPr>
                      <w:b/>
                      <w:bCs/>
                    </w:rPr>
                    <w:t xml:space="preserve">None</w:t>
                  </w:r>
                </w:p>
              </w:tc>
              <w:tc>
                <w:tcPr/>
                <w:p>
                  <w:pPr>
                    <w:pStyle w:val="Compact"/>
                    <w:jc w:val="center"/>
                  </w:pPr>
                  <w:r>
                    <w:rPr>
                      <w:b/>
                      <w:bCs/>
                    </w:rPr>
                    <w:t xml:space="preserve">51.84</w:t>
                  </w:r>
                </w:p>
              </w:tc>
              <w:tc>
                <w:tcPr/>
                <w:p>
                  <w:pPr>
                    <w:pStyle w:val="Compact"/>
                    <w:jc w:val="center"/>
                  </w:pPr>
                  <w:r>
                    <w:rPr>
                      <w:b/>
                      <w:bCs/>
                    </w:rPr>
                    <w:t xml:space="preserve">29.63</w:t>
                  </w:r>
                </w:p>
              </w:tc>
              <w:tc>
                <w:tcPr/>
                <w:p>
                  <w:pPr>
                    <w:pStyle w:val="Compact"/>
                    <w:jc w:val="center"/>
                  </w:pPr>
                  <w:r>
                    <w:rPr>
                      <w:b/>
                      <w:bCs/>
                    </w:rPr>
                    <w:t xml:space="preserve">4.14</w:t>
                  </w:r>
                </w:p>
              </w:tc>
              <w:tc>
                <w:tcPr/>
                <w:p>
                  <w:pPr>
                    <w:pStyle w:val="Compact"/>
                    <w:jc w:val="center"/>
                  </w:pPr>
                  <w:r>
                    <w:rPr>
                      <w:b/>
                      <w:bCs/>
                    </w:rPr>
                    <w:t xml:space="preserve">6.38</w:t>
                  </w:r>
                </w:p>
              </w:tc>
            </w:tr>
            <w:tr>
              <w:tc>
                <w:tcPr/>
                <w:p>
                  <w:pPr>
                    <w:pStyle w:val="Compact"/>
                    <w:jc w:val="center"/>
                  </w:pPr>
                  <w:r>
                    <w:t xml:space="preserve">sLD</w:t>
                  </w:r>
                </w:p>
              </w:tc>
              <w:tc>
                <w:tcPr/>
                <w:p>
                  <w:pPr>
                    <w:pStyle w:val="Compact"/>
                    <w:jc w:val="center"/>
                  </w:pPr>
                  <w:r>
                    <w:t xml:space="preserve">51.82</w:t>
                  </w:r>
                </w:p>
              </w:tc>
              <w:tc>
                <w:tcPr/>
                <w:p>
                  <w:pPr>
                    <w:pStyle w:val="Compact"/>
                    <w:jc w:val="center"/>
                  </w:pPr>
                  <w:r>
                    <w:t xml:space="preserve">29.20</w:t>
                  </w:r>
                </w:p>
              </w:tc>
              <w:tc>
                <w:tcPr/>
                <w:p>
                  <w:pPr>
                    <w:pStyle w:val="Compact"/>
                    <w:jc w:val="center"/>
                  </w:pPr>
                  <w:r>
                    <w:t xml:space="preserve">28.00</w:t>
                  </w:r>
                </w:p>
              </w:tc>
              <w:tc>
                <w:tcPr/>
                <w:p>
                  <w:pPr>
                    <w:pStyle w:val="Compact"/>
                    <w:jc w:val="center"/>
                  </w:pPr>
                  <w:r>
                    <w:t xml:space="preserve">6.60</w:t>
                  </w:r>
                </w:p>
              </w:tc>
            </w:tr>
            <w:tr>
              <w:tc>
                <w:tcPr/>
                <w:p>
                  <w:pPr>
                    <w:pStyle w:val="Compact"/>
                    <w:jc w:val="center"/>
                  </w:pPr>
                  <w:r>
                    <w:t xml:space="preserve">sPK5</w:t>
                  </w:r>
                </w:p>
              </w:tc>
              <w:tc>
                <w:tcPr/>
                <w:p>
                  <w:pPr>
                    <w:pStyle w:val="Compact"/>
                    <w:jc w:val="center"/>
                  </w:pPr>
                  <w:r>
                    <w:t xml:space="preserve">50.91</w:t>
                  </w:r>
                </w:p>
              </w:tc>
              <w:tc>
                <w:tcPr/>
                <w:p>
                  <w:pPr>
                    <w:pStyle w:val="Compact"/>
                    <w:jc w:val="center"/>
                  </w:pPr>
                  <w:r>
                    <w:t xml:space="preserve">14.58</w:t>
                  </w:r>
                </w:p>
              </w:tc>
              <w:tc>
                <w:tcPr/>
                <w:p>
                  <w:pPr>
                    <w:pStyle w:val="Compact"/>
                    <w:jc w:val="center"/>
                  </w:pPr>
                  <w:r>
                    <w:t xml:space="preserve">0.37</w:t>
                  </w:r>
                </w:p>
              </w:tc>
              <w:tc>
                <w:tcPr/>
                <w:p>
                  <w:pPr>
                    <w:pStyle w:val="Compact"/>
                    <w:jc w:val="center"/>
                  </w:pPr>
                  <w:r>
                    <w:t xml:space="preserve">5.88</w:t>
                  </w:r>
                </w:p>
              </w:tc>
            </w:tr>
            <w:tr>
              <w:tc>
                <w:tcPr/>
                <w:p>
                  <w:pPr>
                    <w:pStyle w:val="Compact"/>
                    <w:jc w:val="center"/>
                  </w:pPr>
                  <w:r>
                    <w:t xml:space="preserve">sPm</w:t>
                  </w:r>
                </w:p>
              </w:tc>
              <w:tc>
                <w:tcPr/>
                <w:p>
                  <w:pPr>
                    <w:pStyle w:val="Compact"/>
                    <w:jc w:val="center"/>
                  </w:pPr>
                  <w:r>
                    <w:t xml:space="preserve">32.28</w:t>
                  </w:r>
                </w:p>
              </w:tc>
              <w:tc>
                <w:tcPr/>
                <w:p>
                  <w:pPr>
                    <w:pStyle w:val="Compact"/>
                    <w:jc w:val="center"/>
                  </w:pPr>
                  <w:r>
                    <w:t xml:space="preserve">22.01</w:t>
                  </w:r>
                </w:p>
              </w:tc>
              <w:tc>
                <w:tcPr/>
                <w:p>
                  <w:pPr>
                    <w:pStyle w:val="Compact"/>
                    <w:jc w:val="center"/>
                  </w:pPr>
                  <w:r>
                    <w:t xml:space="preserve">2.53</w:t>
                  </w:r>
                </w:p>
              </w:tc>
              <w:tc>
                <w:tcPr/>
                <w:p>
                  <w:pPr>
                    <w:pStyle w:val="Compact"/>
                    <w:jc w:val="center"/>
                  </w:pPr>
                  <w:r>
                    <w:t xml:space="preserve">5.75</w:t>
                  </w:r>
                </w:p>
              </w:tc>
            </w:tr>
            <w:tr>
              <w:tc>
                <w:tcPr/>
                <w:p>
                  <w:pPr>
                    <w:pStyle w:val="Compact"/>
                    <w:jc w:val="center"/>
                  </w:pPr>
                  <w:r>
                    <w:t xml:space="preserve">sPo</w:t>
                  </w:r>
                </w:p>
              </w:tc>
              <w:tc>
                <w:tcPr/>
                <w:p>
                  <w:pPr>
                    <w:pStyle w:val="Compact"/>
                    <w:jc w:val="center"/>
                  </w:pPr>
                  <w:r>
                    <w:t xml:space="preserve">51.83</w:t>
                  </w:r>
                </w:p>
              </w:tc>
              <w:tc>
                <w:tcPr/>
                <w:p>
                  <w:pPr>
                    <w:pStyle w:val="Compact"/>
                    <w:jc w:val="center"/>
                  </w:pPr>
                  <w:r>
                    <w:t xml:space="preserve">38.63</w:t>
                  </w:r>
                </w:p>
              </w:tc>
              <w:tc>
                <w:tcPr/>
                <w:p>
                  <w:pPr>
                    <w:pStyle w:val="Compact"/>
                    <w:jc w:val="center"/>
                  </w:pPr>
                  <w:r>
                    <w:t xml:space="preserve">27.67</w:t>
                  </w:r>
                </w:p>
              </w:tc>
              <w:tc>
                <w:tcPr/>
                <w:p>
                  <w:pPr>
                    <w:pStyle w:val="Compact"/>
                    <w:jc w:val="center"/>
                  </w:pPr>
                  <w:r>
                    <w:t xml:space="preserve">7.28</w:t>
                  </w:r>
                </w:p>
              </w:tc>
            </w:tr>
          </w:tbl>
          <w:bookmarkEnd w:id="372"/>
          <w:p/>
        </w:tc>
      </w:tr>
    </w:tbl>
    <w:p>
      <w:pPr>
        <w:pStyle w:val="BodyText"/>
      </w:pPr>
      <w:r>
        <w:t xml:space="preserve"> </w:t>
      </w:r>
    </w:p>
    <w:tbl>
      <w:tblPr>
        <w:tblStyle w:val="Table"/>
        <w:tblW w:type="pct" w:w="5000"/>
        <w:tblLayout w:type="fixed"/>
        <w:tblLook w:firstRow="0" w:lastRow="0" w:firstColumn="0" w:lastColumn="0" w:noHBand="0" w:noVBand="0" w:val="0000"/>
      </w:tblPr>
      <w:tblGrid>
        <w:gridCol w:w="7920"/>
      </w:tblGrid>
      <w:tr>
        <w:tc>
          <w:tcPr/>
          <w:bookmarkStart w:id="376" w:name="fig-sa-sbii-r"/>
          <w:p>
            <w:pPr>
              <w:pStyle w:val="Compact"/>
              <w:jc w:val="center"/>
            </w:pPr>
            <w:r>
              <w:drawing>
                <wp:inline>
                  <wp:extent cx="5334000" cy="4971658"/>
                  <wp:effectExtent b="0" l="0" r="0" t="0"/>
                  <wp:docPr descr="" title="" id="374" name="Picture"/>
                  <a:graphic>
                    <a:graphicData uri="http://schemas.openxmlformats.org/drawingml/2006/picture">
                      <pic:pic>
                        <pic:nvPicPr>
                          <pic:cNvPr descr="images/fig-sa-sbii-r.jpg" id="375" name="Picture"/>
                          <pic:cNvPicPr>
                            <a:picLocks noChangeArrowheads="1" noChangeAspect="1"/>
                          </pic:cNvPicPr>
                        </pic:nvPicPr>
                        <pic:blipFill>
                          <a:blip r:embed="rId373"/>
                          <a:stretch>
                            <a:fillRect/>
                          </a:stretch>
                        </pic:blipFill>
                        <pic:spPr bwMode="auto">
                          <a:xfrm>
                            <a:off x="0" y="0"/>
                            <a:ext cx="5334000" cy="4971658"/>
                          </a:xfrm>
                          <a:prstGeom prst="rect">
                            <a:avLst/>
                          </a:prstGeom>
                          <a:noFill/>
                          <a:ln w="9525">
                            <a:noFill/>
                            <a:headEnd/>
                            <a:tailEnd/>
                          </a:ln>
                        </pic:spPr>
                      </pic:pic>
                    </a:graphicData>
                  </a:graphic>
                </wp:inline>
              </w:drawing>
            </w:r>
          </w:p>
          <w:p>
            <w:pPr>
              <w:jc w:val="center"/>
            </w:pPr>
            <w:pPr>
              <w:jc w:val="start"/>
              <w:spacing w:before="200"/>
              <w:pStyle w:val="ImageCaption"/>
            </w:pPr>
            <w:r>
              <w:t xml:space="preserve">Figure 22: Pixel value variability with variable removal scenarios of SbII. Removal had a larger effect than weight swapping on overall CoV and the range of individual pixel values, but only slightly.</w:t>
            </w:r>
          </w:p>
          <w:bookmarkEnd w:id="376"/>
        </w:tc>
      </w:tr>
    </w:tbl>
    <w:p>
      <w:r>
        <w:pict>
          <v:rect style="width:0;height:1.5pt" o:hralign="center" o:hrstd="t" o:hr="t"/>
        </w:pict>
      </w:r>
    </w:p>
    <w:bookmarkEnd w:id="377"/>
    <w:bookmarkStart w:id="388" w:name="final-suitability-sensitivity-analysis"/>
    <w:p>
      <w:pPr>
        <w:pStyle w:val="Heading3"/>
      </w:pPr>
      <w:r>
        <w:t xml:space="preserve">8.3.4 Final Suitability Sensitivity Analysis</w:t>
      </w:r>
    </w:p>
    <w:tbl>
      <w:tblPr>
        <w:tblStyle w:val="Table"/>
        <w:tblW w:type="pct" w:w="5000"/>
        <w:tblLayout w:type="fixed"/>
        <w:tblLook w:firstRow="0" w:lastRow="0" w:firstColumn="0" w:lastColumn="0" w:noHBand="0" w:noVBand="0" w:val="0000"/>
      </w:tblPr>
      <w:tblGrid>
        <w:gridCol w:w="7920"/>
      </w:tblGrid>
      <w:tr>
        <w:tc>
          <w:tcPr/>
          <w:bookmarkStart w:id="378" w:name="tbl-sa-final-w"/>
          <w:p>
            <w:pPr>
              <w:jc w:val="center"/>
            </w:pPr>
            <w:pPr>
              <w:jc w:val="start"/>
              <w:spacing w:before="200"/>
              <w:pStyle w:val="ImageCaption"/>
            </w:pPr>
            <w:r>
              <w:t xml:space="preserve">Table 14: Weight Swapping Final Suitability Results. Sensitivity analysis on overall suitability where variable weights were swapped. The values from the row in bold were used in the primary analysis.</w:t>
            </w:r>
          </w:p>
          <w:tbl>
            <w:tblPr>
              <w:tblStyle w:val="Table"/>
              <w:tblW w:type="pct" w:w="5000"/>
              <w:tblLayout w:type="fixed"/>
              <w:tblLook w:firstRow="1" w:lastRow="0" w:firstColumn="0" w:lastColumn="0" w:noHBand="0" w:noVBand="0" w:val="0020"/>
            </w:tblPr>
            <w:tblGrid>
              <w:gridCol w:w="879"/>
              <w:gridCol w:w="879"/>
              <w:gridCol w:w="879"/>
              <w:gridCol w:w="879"/>
              <w:gridCol w:w="879"/>
              <w:gridCol w:w="879"/>
              <w:gridCol w:w="879"/>
              <w:gridCol w:w="879"/>
              <w:gridCol w:w="879"/>
            </w:tblGrid>
            <w:tr>
              <w:trPr>
                <w:tblHeader w:val="on"/>
              </w:trPr>
              <w:tc>
                <w:tcPr/>
                <w:p>
                  <w:pPr>
                    <w:pStyle w:val="Compact"/>
                    <w:jc w:val="center"/>
                  </w:pPr>
                  <w:r>
                    <w:t xml:space="preserve">File</w:t>
                  </w:r>
                </w:p>
              </w:tc>
              <w:tc>
                <w:tcPr/>
                <w:p>
                  <w:pPr>
                    <w:pStyle w:val="Compact"/>
                    <w:jc w:val="center"/>
                  </w:pPr>
                  <w:r>
                    <w:t xml:space="preserve">Sbii</w:t>
                  </w:r>
                </w:p>
              </w:tc>
              <w:tc>
                <w:tcPr/>
                <w:p>
                  <w:pPr>
                    <w:pStyle w:val="Compact"/>
                    <w:jc w:val="center"/>
                  </w:pPr>
                  <w:r>
                    <w:t xml:space="preserve">sSF</w:t>
                  </w:r>
                </w:p>
              </w:tc>
              <w:tc>
                <w:tcPr/>
                <w:p>
                  <w:pPr>
                    <w:pStyle w:val="Compact"/>
                    <w:jc w:val="center"/>
                  </w:pPr>
                  <w:r>
                    <w:t xml:space="preserve">SMII</w:t>
                  </w:r>
                </w:p>
              </w:tc>
              <w:tc>
                <w:tcPr/>
                <w:p>
                  <w:pPr>
                    <w:pStyle w:val="Compact"/>
                    <w:jc w:val="center"/>
                  </w:pPr>
                  <w:r>
                    <w:t xml:space="preserve">VDI</w:t>
                  </w:r>
                </w:p>
              </w:tc>
              <w:tc>
                <w:tcPr/>
                <w:p>
                  <w:pPr>
                    <w:pStyle w:val="Compact"/>
                    <w:jc w:val="center"/>
                  </w:pPr>
                  <w:r>
                    <w:t xml:space="preserve">% &gt; 5</w:t>
                  </w:r>
                </w:p>
              </w:tc>
              <w:tc>
                <w:tcPr/>
                <w:p>
                  <w:pPr>
                    <w:pStyle w:val="Compact"/>
                    <w:jc w:val="center"/>
                  </w:pPr>
                  <w:r>
                    <w:t xml:space="preserve">% &gt; 6</w:t>
                  </w:r>
                </w:p>
              </w:tc>
              <w:tc>
                <w:tcPr/>
                <w:p>
                  <w:pPr>
                    <w:pStyle w:val="Compact"/>
                    <w:jc w:val="center"/>
                  </w:pPr>
                  <w:r>
                    <w:t xml:space="preserve">% &gt; 7</w:t>
                  </w:r>
                </w:p>
              </w:tc>
              <w:tc>
                <w:tcPr/>
                <w:p>
                  <w:pPr>
                    <w:pStyle w:val="Compact"/>
                    <w:jc w:val="center"/>
                  </w:pPr>
                  <w:r>
                    <w:t xml:space="preserve">Mean</w:t>
                  </w:r>
                </w:p>
              </w:tc>
            </w:tr>
            <w:tr>
              <w:tc>
                <w:tcPr/>
                <w:p>
                  <w:pPr>
                    <w:pStyle w:val="Compact"/>
                    <w:jc w:val="center"/>
                  </w:pPr>
                  <w:r>
                    <w:rPr>
                      <w:b/>
                      <w:bCs/>
                    </w:rPr>
                    <w:t xml:space="preserve">Final_0</w:t>
                  </w:r>
                </w:p>
              </w:tc>
              <w:tc>
                <w:tcPr/>
                <w:p>
                  <w:pPr>
                    <w:pStyle w:val="Compact"/>
                    <w:jc w:val="center"/>
                  </w:pPr>
                  <w:r>
                    <w:rPr>
                      <w:b/>
                      <w:bCs/>
                    </w:rPr>
                    <w:t xml:space="preserve">0.2</w:t>
                  </w:r>
                </w:p>
              </w:tc>
              <w:tc>
                <w:tcPr/>
                <w:p>
                  <w:pPr>
                    <w:pStyle w:val="Compact"/>
                    <w:jc w:val="center"/>
                  </w:pPr>
                  <w:r>
                    <w:rPr>
                      <w:b/>
                      <w:bCs/>
                    </w:rPr>
                    <w:t xml:space="preserve">0.4</w:t>
                  </w:r>
                </w:p>
              </w:tc>
              <w:tc>
                <w:tcPr/>
                <w:p>
                  <w:pPr>
                    <w:pStyle w:val="Compact"/>
                    <w:jc w:val="center"/>
                  </w:pPr>
                  <w:r>
                    <w:rPr>
                      <w:b/>
                      <w:bCs/>
                    </w:rPr>
                    <w:t xml:space="preserve">0.2</w:t>
                  </w:r>
                </w:p>
              </w:tc>
              <w:tc>
                <w:tcPr/>
                <w:p>
                  <w:pPr>
                    <w:pStyle w:val="Compact"/>
                    <w:jc w:val="center"/>
                  </w:pPr>
                  <w:r>
                    <w:rPr>
                      <w:b/>
                      <w:bCs/>
                    </w:rPr>
                    <w:t xml:space="preserve">0.2</w:t>
                  </w:r>
                </w:p>
              </w:tc>
              <w:tc>
                <w:tcPr/>
                <w:p>
                  <w:pPr>
                    <w:pStyle w:val="Compact"/>
                    <w:jc w:val="center"/>
                  </w:pPr>
                  <w:r>
                    <w:rPr>
                      <w:b/>
                      <w:bCs/>
                    </w:rPr>
                    <w:t xml:space="preserve">87.41</w:t>
                  </w:r>
                </w:p>
              </w:tc>
              <w:tc>
                <w:tcPr/>
                <w:p>
                  <w:pPr>
                    <w:pStyle w:val="Compact"/>
                    <w:jc w:val="center"/>
                  </w:pPr>
                  <w:r>
                    <w:rPr>
                      <w:b/>
                      <w:bCs/>
                    </w:rPr>
                    <w:t xml:space="preserve">63.28</w:t>
                  </w:r>
                </w:p>
              </w:tc>
              <w:tc>
                <w:tcPr/>
                <w:p>
                  <w:pPr>
                    <w:pStyle w:val="Compact"/>
                    <w:jc w:val="center"/>
                  </w:pPr>
                  <w:r>
                    <w:rPr>
                      <w:b/>
                      <w:bCs/>
                    </w:rPr>
                    <w:t xml:space="preserve">25.75</w:t>
                  </w:r>
                </w:p>
              </w:tc>
              <w:tc>
                <w:tcPr/>
                <w:p>
                  <w:pPr>
                    <w:pStyle w:val="Compact"/>
                    <w:jc w:val="center"/>
                  </w:pPr>
                  <w:r>
                    <w:rPr>
                      <w:b/>
                      <w:bCs/>
                    </w:rPr>
                    <w:t xml:space="preserve">6.23</w:t>
                  </w:r>
                </w:p>
              </w:tc>
            </w:tr>
            <w:tr>
              <w:tc>
                <w:tcPr/>
                <w:p>
                  <w:pPr>
                    <w:pStyle w:val="Compact"/>
                    <w:jc w:val="center"/>
                  </w:pPr>
                  <w:r>
                    <w:t xml:space="preserve">Final_1</w:t>
                  </w:r>
                </w:p>
              </w:tc>
              <w:tc>
                <w:tcPr/>
                <w:p>
                  <w:pPr>
                    <w:pStyle w:val="Compact"/>
                    <w:jc w:val="center"/>
                  </w:pPr>
                  <w:r>
                    <w:t xml:space="preserve">0.2</w:t>
                  </w:r>
                </w:p>
              </w:tc>
              <w:tc>
                <w:tcPr/>
                <w:p>
                  <w:pPr>
                    <w:pStyle w:val="Compact"/>
                    <w:jc w:val="center"/>
                  </w:pPr>
                  <w:r>
                    <w:t xml:space="preserve">0.2</w:t>
                  </w:r>
                </w:p>
              </w:tc>
              <w:tc>
                <w:tcPr/>
                <w:p>
                  <w:pPr>
                    <w:pStyle w:val="Compact"/>
                    <w:jc w:val="center"/>
                  </w:pPr>
                  <w:r>
                    <w:t xml:space="preserve">0.4</w:t>
                  </w:r>
                </w:p>
              </w:tc>
              <w:tc>
                <w:tcPr/>
                <w:p>
                  <w:pPr>
                    <w:pStyle w:val="Compact"/>
                    <w:jc w:val="center"/>
                  </w:pPr>
                  <w:r>
                    <w:t xml:space="preserve">0.2</w:t>
                  </w:r>
                </w:p>
              </w:tc>
              <w:tc>
                <w:tcPr/>
                <w:p>
                  <w:pPr>
                    <w:pStyle w:val="Compact"/>
                    <w:jc w:val="center"/>
                  </w:pPr>
                  <w:r>
                    <w:t xml:space="preserve">82.07</w:t>
                  </w:r>
                </w:p>
              </w:tc>
              <w:tc>
                <w:tcPr/>
                <w:p>
                  <w:pPr>
                    <w:pStyle w:val="Compact"/>
                    <w:jc w:val="center"/>
                  </w:pPr>
                  <w:r>
                    <w:t xml:space="preserve">55.72</w:t>
                  </w:r>
                </w:p>
              </w:tc>
              <w:tc>
                <w:tcPr/>
                <w:p>
                  <w:pPr>
                    <w:pStyle w:val="Compact"/>
                    <w:jc w:val="center"/>
                  </w:pPr>
                  <w:r>
                    <w:t xml:space="preserve">16.32</w:t>
                  </w:r>
                </w:p>
              </w:tc>
              <w:tc>
                <w:tcPr/>
                <w:p>
                  <w:pPr>
                    <w:pStyle w:val="Compact"/>
                    <w:jc w:val="center"/>
                  </w:pPr>
                  <w:r>
                    <w:t xml:space="preserve">6.00</w:t>
                  </w:r>
                </w:p>
              </w:tc>
            </w:tr>
            <w:tr>
              <w:tc>
                <w:tcPr/>
                <w:p>
                  <w:pPr>
                    <w:pStyle w:val="Compact"/>
                    <w:jc w:val="center"/>
                  </w:pPr>
                  <w:r>
                    <w:t xml:space="preserve">Final_2</w:t>
                  </w:r>
                </w:p>
              </w:tc>
              <w:tc>
                <w:tcPr/>
                <w:p>
                  <w:pPr>
                    <w:pStyle w:val="Compact"/>
                    <w:jc w:val="center"/>
                  </w:pPr>
                  <w:r>
                    <w:t xml:space="preserve">0.2</w:t>
                  </w:r>
                </w:p>
              </w:tc>
              <w:tc>
                <w:tcPr/>
                <w:p>
                  <w:pPr>
                    <w:pStyle w:val="Compact"/>
                    <w:jc w:val="center"/>
                  </w:pPr>
                  <w:r>
                    <w:t xml:space="preserve">0.2</w:t>
                  </w:r>
                </w:p>
              </w:tc>
              <w:tc>
                <w:tcPr/>
                <w:p>
                  <w:pPr>
                    <w:pStyle w:val="Compact"/>
                    <w:jc w:val="center"/>
                  </w:pPr>
                  <w:r>
                    <w:t xml:space="preserve">0.2</w:t>
                  </w:r>
                </w:p>
              </w:tc>
              <w:tc>
                <w:tcPr/>
                <w:p>
                  <w:pPr>
                    <w:pStyle w:val="Compact"/>
                    <w:jc w:val="center"/>
                  </w:pPr>
                  <w:r>
                    <w:t xml:space="preserve">0.4</w:t>
                  </w:r>
                </w:p>
              </w:tc>
              <w:tc>
                <w:tcPr/>
                <w:p>
                  <w:pPr>
                    <w:pStyle w:val="Compact"/>
                    <w:jc w:val="center"/>
                  </w:pPr>
                  <w:r>
                    <w:t xml:space="preserve">78.67</w:t>
                  </w:r>
                </w:p>
              </w:tc>
              <w:tc>
                <w:tcPr/>
                <w:p>
                  <w:pPr>
                    <w:pStyle w:val="Compact"/>
                    <w:jc w:val="center"/>
                  </w:pPr>
                  <w:r>
                    <w:t xml:space="preserve">66.14</w:t>
                  </w:r>
                </w:p>
              </w:tc>
              <w:tc>
                <w:tcPr/>
                <w:p>
                  <w:pPr>
                    <w:pStyle w:val="Compact"/>
                    <w:jc w:val="center"/>
                  </w:pPr>
                  <w:r>
                    <w:t xml:space="preserve">49.18</w:t>
                  </w:r>
                </w:p>
              </w:tc>
              <w:tc>
                <w:tcPr/>
                <w:p>
                  <w:pPr>
                    <w:pStyle w:val="Compact"/>
                    <w:jc w:val="center"/>
                  </w:pPr>
                  <w:r>
                    <w:t xml:space="preserve">6.45</w:t>
                  </w:r>
                </w:p>
              </w:tc>
            </w:tr>
            <w:tr>
              <w:tc>
                <w:tcPr/>
                <w:p>
                  <w:pPr>
                    <w:pStyle w:val="Compact"/>
                    <w:jc w:val="center"/>
                  </w:pPr>
                  <w:r>
                    <w:t xml:space="preserve">Final_3</w:t>
                  </w:r>
                </w:p>
              </w:tc>
              <w:tc>
                <w:tcPr/>
                <w:p>
                  <w:pPr>
                    <w:pStyle w:val="Compact"/>
                    <w:jc w:val="center"/>
                  </w:pPr>
                  <w:r>
                    <w:t xml:space="preserve">0.4</w:t>
                  </w:r>
                </w:p>
              </w:tc>
              <w:tc>
                <w:tcPr/>
                <w:p>
                  <w:pPr>
                    <w:pStyle w:val="Compact"/>
                    <w:jc w:val="center"/>
                  </w:pPr>
                  <w:r>
                    <w:t xml:space="preserve">0.2</w:t>
                  </w:r>
                </w:p>
              </w:tc>
              <w:tc>
                <w:tcPr/>
                <w:p>
                  <w:pPr>
                    <w:pStyle w:val="Compact"/>
                    <w:jc w:val="center"/>
                  </w:pPr>
                  <w:r>
                    <w:t xml:space="preserve">0.2</w:t>
                  </w:r>
                </w:p>
              </w:tc>
              <w:tc>
                <w:tcPr/>
                <w:p>
                  <w:pPr>
                    <w:pStyle w:val="Compact"/>
                    <w:jc w:val="center"/>
                  </w:pPr>
                  <w:r>
                    <w:t xml:space="preserve">0.2</w:t>
                  </w:r>
                </w:p>
              </w:tc>
              <w:tc>
                <w:tcPr/>
                <w:p>
                  <w:pPr>
                    <w:pStyle w:val="Compact"/>
                    <w:jc w:val="center"/>
                  </w:pPr>
                  <w:r>
                    <w:t xml:space="preserve">90.33</w:t>
                  </w:r>
                </w:p>
              </w:tc>
              <w:tc>
                <w:tcPr/>
                <w:p>
                  <w:pPr>
                    <w:pStyle w:val="Compact"/>
                    <w:jc w:val="center"/>
                  </w:pPr>
                  <w:r>
                    <w:t xml:space="preserve">67.17</w:t>
                  </w:r>
                </w:p>
              </w:tc>
              <w:tc>
                <w:tcPr/>
                <w:p>
                  <w:pPr>
                    <w:pStyle w:val="Compact"/>
                    <w:jc w:val="center"/>
                  </w:pPr>
                  <w:r>
                    <w:t xml:space="preserve">27.60</w:t>
                  </w:r>
                </w:p>
              </w:tc>
              <w:tc>
                <w:tcPr/>
                <w:p>
                  <w:pPr>
                    <w:pStyle w:val="Compact"/>
                    <w:jc w:val="center"/>
                  </w:pPr>
                  <w:r>
                    <w:t xml:space="preserve">6.33</w:t>
                  </w:r>
                </w:p>
              </w:tc>
            </w:tr>
          </w:tbl>
          <w:bookmarkEnd w:id="378"/>
          <w:p/>
        </w:tc>
      </w:tr>
    </w:tbl>
    <w:p>
      <w:pPr>
        <w:pStyle w:val="BodyText"/>
      </w:pPr>
      <w:r>
        <w:t xml:space="preserve"> </w:t>
      </w:r>
    </w:p>
    <w:tbl>
      <w:tblPr>
        <w:tblStyle w:val="Table"/>
        <w:tblW w:type="pct" w:w="5000"/>
        <w:tblLayout w:type="fixed"/>
        <w:tblLook w:firstRow="0" w:lastRow="0" w:firstColumn="0" w:lastColumn="0" w:noHBand="0" w:noVBand="0" w:val="0000"/>
      </w:tblPr>
      <w:tblGrid>
        <w:gridCol w:w="7920"/>
      </w:tblGrid>
      <w:tr>
        <w:tc>
          <w:tcPr/>
          <w:bookmarkStart w:id="382" w:name="fig-sa-final-w"/>
          <w:p>
            <w:pPr>
              <w:pStyle w:val="Compact"/>
              <w:jc w:val="center"/>
            </w:pPr>
            <w:r>
              <w:drawing>
                <wp:inline>
                  <wp:extent cx="5334000" cy="4971658"/>
                  <wp:effectExtent b="0" l="0" r="0" t="0"/>
                  <wp:docPr descr="" title="" id="380" name="Picture"/>
                  <a:graphic>
                    <a:graphicData uri="http://schemas.openxmlformats.org/drawingml/2006/picture">
                      <pic:pic>
                        <pic:nvPicPr>
                          <pic:cNvPr descr="images/fig-sa-final-w.jpg" id="381" name="Picture"/>
                          <pic:cNvPicPr>
                            <a:picLocks noChangeArrowheads="1" noChangeAspect="1"/>
                          </pic:cNvPicPr>
                        </pic:nvPicPr>
                        <pic:blipFill>
                          <a:blip r:embed="rId379"/>
                          <a:stretch>
                            <a:fillRect/>
                          </a:stretch>
                        </pic:blipFill>
                        <pic:spPr bwMode="auto">
                          <a:xfrm>
                            <a:off x="0" y="0"/>
                            <a:ext cx="5334000" cy="4971658"/>
                          </a:xfrm>
                          <a:prstGeom prst="rect">
                            <a:avLst/>
                          </a:prstGeom>
                          <a:noFill/>
                          <a:ln w="9525">
                            <a:noFill/>
                            <a:headEnd/>
                            <a:tailEnd/>
                          </a:ln>
                        </pic:spPr>
                      </pic:pic>
                    </a:graphicData>
                  </a:graphic>
                </wp:inline>
              </w:drawing>
            </w:r>
          </w:p>
          <w:p>
            <w:pPr>
              <w:jc w:val="center"/>
            </w:pPr>
            <w:pPr>
              <w:jc w:val="start"/>
              <w:spacing w:before="200"/>
              <w:pStyle w:val="ImageCaption"/>
            </w:pPr>
            <w:r>
              <w:t xml:space="preserve">Figure 23: Pixel values across 4 weighting scenarios of Final Suitability. The CoV of the pixels tops out at about 0.32 and the maximum range of any given pixel is 2. The areas with the highest variability appear to be large square areas corresponding to the original 800m size of the sSF data. Given that sSF is the only non indexed thematic layer, it has the highest weight of any variable so this variability makes sense.</w:t>
            </w:r>
          </w:p>
          <w:bookmarkEnd w:id="382"/>
        </w:tc>
      </w:tr>
    </w:tbl>
    <w:p>
      <w:r>
        <w:pict>
          <v:rect style="width:0;height:1.5pt" o:hralign="center" o:hrstd="t" o:hr="t"/>
        </w:pict>
      </w:r>
    </w:p>
    <w:tbl>
      <w:tblPr>
        <w:tblStyle w:val="Table"/>
        <w:tblW w:type="pct" w:w="5000"/>
        <w:tblLayout w:type="fixed"/>
        <w:tblLook w:firstRow="0" w:lastRow="0" w:firstColumn="0" w:lastColumn="0" w:noHBand="0" w:noVBand="0" w:val="0000"/>
      </w:tblPr>
      <w:tblGrid>
        <w:gridCol w:w="7920"/>
      </w:tblGrid>
      <w:tr>
        <w:tc>
          <w:tcPr/>
          <w:bookmarkStart w:id="383" w:name="tbl-sa-final-r"/>
          <w:p>
            <w:pPr>
              <w:jc w:val="center"/>
            </w:pPr>
            <w:pPr>
              <w:jc w:val="start"/>
              <w:spacing w:before="200"/>
              <w:pStyle w:val="ImageCaption"/>
            </w:pPr>
            <w:r>
              <w:t xml:space="preserve">Table 15: Variable Removal Final Suitability Results. Sensitivity analysis on overall suitability with removal of variables One-at-a-Time (OAT) and equal weighting for the ’None condition. The values from the row in bold were used in the primary analysis.</w:t>
            </w:r>
          </w:p>
          <w:tbl>
            <w:tblPr>
              <w:tblStyle w:val="Table"/>
              <w:tblW w:type="auto" w:w="0"/>
              <w:tblLook w:firstRow="1" w:lastRow="0" w:firstColumn="0" w:lastColumn="0" w:noHBand="0" w:noVBand="0" w:val="0020"/>
            </w:tblPr>
            <w:tblGrid>
              <w:gridCol w:w="1584"/>
              <w:gridCol w:w="1584"/>
              <w:gridCol w:w="1584"/>
              <w:gridCol w:w="1584"/>
              <w:gridCol w:w="1584"/>
            </w:tblGrid>
            <w:tr>
              <w:trPr>
                <w:tblHeader w:val="on"/>
              </w:trPr>
              <w:tc>
                <w:tcPr/>
                <w:p>
                  <w:pPr>
                    <w:pStyle w:val="Compact"/>
                    <w:jc w:val="center"/>
                  </w:pPr>
                  <w:r>
                    <w:t xml:space="preserve">Removed</w:t>
                  </w:r>
                </w:p>
              </w:tc>
              <w:tc>
                <w:tcPr/>
                <w:p>
                  <w:pPr>
                    <w:pStyle w:val="Compact"/>
                    <w:jc w:val="center"/>
                  </w:pPr>
                  <w:r>
                    <w:t xml:space="preserve">% &gt; 5</w:t>
                  </w:r>
                </w:p>
              </w:tc>
              <w:tc>
                <w:tcPr/>
                <w:p>
                  <w:pPr>
                    <w:pStyle w:val="Compact"/>
                    <w:jc w:val="center"/>
                  </w:pPr>
                  <w:r>
                    <w:t xml:space="preserve">% &gt; 6</w:t>
                  </w:r>
                </w:p>
              </w:tc>
              <w:tc>
                <w:tcPr/>
                <w:p>
                  <w:pPr>
                    <w:pStyle w:val="Compact"/>
                    <w:jc w:val="center"/>
                  </w:pPr>
                  <w:r>
                    <w:t xml:space="preserve">% &gt; 7</w:t>
                  </w:r>
                </w:p>
              </w:tc>
              <w:tc>
                <w:tcPr/>
                <w:p>
                  <w:pPr>
                    <w:pStyle w:val="Compact"/>
                    <w:jc w:val="center"/>
                  </w:pPr>
                  <w:r>
                    <w:t xml:space="preserve">Mean</w:t>
                  </w:r>
                </w:p>
              </w:tc>
            </w:tr>
            <w:tr>
              <w:tc>
                <w:tcPr/>
                <w:p>
                  <w:pPr>
                    <w:pStyle w:val="Compact"/>
                    <w:jc w:val="center"/>
                  </w:pPr>
                  <w:r>
                    <w:rPr>
                      <w:b/>
                      <w:bCs/>
                    </w:rPr>
                    <w:t xml:space="preserve">None</w:t>
                  </w:r>
                </w:p>
              </w:tc>
              <w:tc>
                <w:tcPr/>
                <w:p>
                  <w:pPr>
                    <w:pStyle w:val="Compact"/>
                    <w:jc w:val="center"/>
                  </w:pPr>
                  <w:r>
                    <w:rPr>
                      <w:b/>
                      <w:bCs/>
                    </w:rPr>
                    <w:t xml:space="preserve">43.75</w:t>
                  </w:r>
                </w:p>
              </w:tc>
              <w:tc>
                <w:tcPr/>
                <w:p>
                  <w:pPr>
                    <w:pStyle w:val="Compact"/>
                    <w:jc w:val="center"/>
                  </w:pPr>
                  <w:r>
                    <w:rPr>
                      <w:b/>
                      <w:bCs/>
                    </w:rPr>
                    <w:t xml:space="preserve">33.03</w:t>
                  </w:r>
                </w:p>
              </w:tc>
              <w:tc>
                <w:tcPr/>
                <w:p>
                  <w:pPr>
                    <w:pStyle w:val="Compact"/>
                    <w:jc w:val="center"/>
                  </w:pPr>
                  <w:r>
                    <w:rPr>
                      <w:b/>
                      <w:bCs/>
                    </w:rPr>
                    <w:t xml:space="preserve">15.90</w:t>
                  </w:r>
                </w:p>
              </w:tc>
              <w:tc>
                <w:tcPr/>
                <w:p>
                  <w:pPr>
                    <w:pStyle w:val="Compact"/>
                    <w:jc w:val="center"/>
                  </w:pPr>
                  <w:r>
                    <w:rPr>
                      <w:b/>
                      <w:bCs/>
                    </w:rPr>
                    <w:t xml:space="preserve">6.25</w:t>
                  </w:r>
                </w:p>
              </w:tc>
            </w:tr>
            <w:tr>
              <w:tc>
                <w:tcPr/>
                <w:p>
                  <w:pPr>
                    <w:pStyle w:val="Compact"/>
                    <w:jc w:val="center"/>
                  </w:pPr>
                  <w:r>
                    <w:t xml:space="preserve">Sbii</w:t>
                  </w:r>
                </w:p>
              </w:tc>
              <w:tc>
                <w:tcPr/>
                <w:p>
                  <w:pPr>
                    <w:pStyle w:val="Compact"/>
                    <w:jc w:val="center"/>
                  </w:pPr>
                  <w:r>
                    <w:t xml:space="preserve">39.67</w:t>
                  </w:r>
                </w:p>
              </w:tc>
              <w:tc>
                <w:tcPr/>
                <w:p>
                  <w:pPr>
                    <w:pStyle w:val="Compact"/>
                    <w:jc w:val="center"/>
                  </w:pPr>
                  <w:r>
                    <w:t xml:space="preserve">31.15</w:t>
                  </w:r>
                </w:p>
              </w:tc>
              <w:tc>
                <w:tcPr/>
                <w:p>
                  <w:pPr>
                    <w:pStyle w:val="Compact"/>
                    <w:jc w:val="center"/>
                  </w:pPr>
                  <w:r>
                    <w:t xml:space="preserve">17.56</w:t>
                  </w:r>
                </w:p>
              </w:tc>
              <w:tc>
                <w:tcPr/>
                <w:p>
                  <w:pPr>
                    <w:pStyle w:val="Compact"/>
                    <w:jc w:val="center"/>
                  </w:pPr>
                  <w:r>
                    <w:t xml:space="preserve">6.12</w:t>
                  </w:r>
                </w:p>
              </w:tc>
            </w:tr>
            <w:tr>
              <w:tc>
                <w:tcPr/>
                <w:p>
                  <w:pPr>
                    <w:pStyle w:val="Compact"/>
                    <w:jc w:val="center"/>
                  </w:pPr>
                  <w:r>
                    <w:t xml:space="preserve">sSF</w:t>
                  </w:r>
                </w:p>
              </w:tc>
              <w:tc>
                <w:tcPr/>
                <w:p>
                  <w:pPr>
                    <w:pStyle w:val="Compact"/>
                    <w:jc w:val="center"/>
                  </w:pPr>
                  <w:r>
                    <w:t xml:space="preserve">41.29</w:t>
                  </w:r>
                </w:p>
              </w:tc>
              <w:tc>
                <w:tcPr/>
                <w:p>
                  <w:pPr>
                    <w:pStyle w:val="Compact"/>
                    <w:jc w:val="center"/>
                  </w:pPr>
                  <w:r>
                    <w:t xml:space="preserve">33.28</w:t>
                  </w:r>
                </w:p>
              </w:tc>
              <w:tc>
                <w:tcPr/>
                <w:p>
                  <w:pPr>
                    <w:pStyle w:val="Compact"/>
                    <w:jc w:val="center"/>
                  </w:pPr>
                  <w:r>
                    <w:t xml:space="preserve">19.74</w:t>
                  </w:r>
                </w:p>
              </w:tc>
              <w:tc>
                <w:tcPr/>
                <w:p>
                  <w:pPr>
                    <w:pStyle w:val="Compact"/>
                    <w:jc w:val="center"/>
                  </w:pPr>
                  <w:r>
                    <w:t xml:space="preserve">6.29</w:t>
                  </w:r>
                </w:p>
              </w:tc>
            </w:tr>
            <w:tr>
              <w:tc>
                <w:tcPr/>
                <w:p>
                  <w:pPr>
                    <w:pStyle w:val="Compact"/>
                    <w:jc w:val="center"/>
                  </w:pPr>
                  <w:r>
                    <w:t xml:space="preserve">SMII</w:t>
                  </w:r>
                </w:p>
              </w:tc>
              <w:tc>
                <w:tcPr/>
                <w:p>
                  <w:pPr>
                    <w:pStyle w:val="Compact"/>
                    <w:jc w:val="center"/>
                  </w:pPr>
                  <w:r>
                    <w:t xml:space="preserve">45.17</w:t>
                  </w:r>
                </w:p>
              </w:tc>
              <w:tc>
                <w:tcPr/>
                <w:p>
                  <w:pPr>
                    <w:pStyle w:val="Compact"/>
                    <w:jc w:val="center"/>
                  </w:pPr>
                  <w:r>
                    <w:t xml:space="preserve">35.77</w:t>
                  </w:r>
                </w:p>
              </w:tc>
              <w:tc>
                <w:tcPr/>
                <w:p>
                  <w:pPr>
                    <w:pStyle w:val="Compact"/>
                    <w:jc w:val="center"/>
                  </w:pPr>
                  <w:r>
                    <w:t xml:space="preserve">27.06</w:t>
                  </w:r>
                </w:p>
              </w:tc>
              <w:tc>
                <w:tcPr/>
                <w:p>
                  <w:pPr>
                    <w:pStyle w:val="Compact"/>
                    <w:jc w:val="center"/>
                  </w:pPr>
                  <w:r>
                    <w:t xml:space="preserve">6.68</w:t>
                  </w:r>
                </w:p>
              </w:tc>
            </w:tr>
            <w:tr>
              <w:tc>
                <w:tcPr/>
                <w:p>
                  <w:pPr>
                    <w:pStyle w:val="Compact"/>
                    <w:jc w:val="center"/>
                  </w:pPr>
                  <w:r>
                    <w:t xml:space="preserve">VDI</w:t>
                  </w:r>
                </w:p>
              </w:tc>
              <w:tc>
                <w:tcPr/>
                <w:p>
                  <w:pPr>
                    <w:pStyle w:val="Compact"/>
                    <w:jc w:val="center"/>
                  </w:pPr>
                  <w:r>
                    <w:t xml:space="preserve">46.75</w:t>
                  </w:r>
                </w:p>
              </w:tc>
              <w:tc>
                <w:tcPr/>
                <w:p>
                  <w:pPr>
                    <w:pStyle w:val="Compact"/>
                    <w:jc w:val="center"/>
                  </w:pPr>
                  <w:r>
                    <w:t xml:space="preserve">26.13</w:t>
                  </w:r>
                </w:p>
              </w:tc>
              <w:tc>
                <w:tcPr/>
                <w:p>
                  <w:pPr>
                    <w:pStyle w:val="Compact"/>
                    <w:jc w:val="center"/>
                  </w:pPr>
                  <w:r>
                    <w:t xml:space="preserve">1.58</w:t>
                  </w:r>
                </w:p>
              </w:tc>
              <w:tc>
                <w:tcPr/>
                <w:p>
                  <w:pPr>
                    <w:pStyle w:val="Compact"/>
                    <w:jc w:val="center"/>
                  </w:pPr>
                  <w:r>
                    <w:t xml:space="preserve">5.92</w:t>
                  </w:r>
                </w:p>
              </w:tc>
            </w:tr>
          </w:tbl>
          <w:bookmarkEnd w:id="383"/>
          <w:p/>
        </w:tc>
      </w:tr>
    </w:tbl>
    <w:p>
      <w:pPr>
        <w:pStyle w:val="BodyText"/>
      </w:pPr>
      <w:r>
        <w:t xml:space="preserve"> </w:t>
      </w:r>
    </w:p>
    <w:tbl>
      <w:tblPr>
        <w:tblStyle w:val="Table"/>
        <w:tblW w:type="pct" w:w="5000"/>
        <w:tblLayout w:type="fixed"/>
        <w:tblLook w:firstRow="0" w:lastRow="0" w:firstColumn="0" w:lastColumn="0" w:noHBand="0" w:noVBand="0" w:val="0000"/>
      </w:tblPr>
      <w:tblGrid>
        <w:gridCol w:w="7920"/>
      </w:tblGrid>
      <w:tr>
        <w:tc>
          <w:tcPr/>
          <w:bookmarkStart w:id="387" w:name="fig-sa-final-r"/>
          <w:p>
            <w:pPr>
              <w:pStyle w:val="Compact"/>
              <w:jc w:val="center"/>
            </w:pPr>
            <w:r>
              <w:drawing>
                <wp:inline>
                  <wp:extent cx="5334000" cy="4973230"/>
                  <wp:effectExtent b="0" l="0" r="0" t="0"/>
                  <wp:docPr descr="" title="" id="385" name="Picture"/>
                  <a:graphic>
                    <a:graphicData uri="http://schemas.openxmlformats.org/drawingml/2006/picture">
                      <pic:pic>
                        <pic:nvPicPr>
                          <pic:cNvPr descr="images/fig-sa-final-r.jpg" id="386" name="Picture"/>
                          <pic:cNvPicPr>
                            <a:picLocks noChangeArrowheads="1" noChangeAspect="1"/>
                          </pic:cNvPicPr>
                        </pic:nvPicPr>
                        <pic:blipFill>
                          <a:blip r:embed="rId384"/>
                          <a:stretch>
                            <a:fillRect/>
                          </a:stretch>
                        </pic:blipFill>
                        <pic:spPr bwMode="auto">
                          <a:xfrm>
                            <a:off x="0" y="0"/>
                            <a:ext cx="5334000" cy="4973230"/>
                          </a:xfrm>
                          <a:prstGeom prst="rect">
                            <a:avLst/>
                          </a:prstGeom>
                          <a:noFill/>
                          <a:ln w="9525">
                            <a:noFill/>
                            <a:headEnd/>
                            <a:tailEnd/>
                          </a:ln>
                        </pic:spPr>
                      </pic:pic>
                    </a:graphicData>
                  </a:graphic>
                </wp:inline>
              </w:drawing>
            </w:r>
          </w:p>
          <w:p>
            <w:pPr>
              <w:jc w:val="center"/>
            </w:pPr>
            <w:pPr>
              <w:jc w:val="start"/>
              <w:spacing w:before="200"/>
              <w:pStyle w:val="ImageCaption"/>
            </w:pPr>
            <w:r>
              <w:t xml:space="preserve">Figure 24: Pixel value variability with variable removal scenarios of Final suitability. A similar trend to what was observed in the Final Suitability swapping, a relatively high CoV of 0.5, and a maximum range for any given pixel value of 3.3. These values seem high but it also makes sense that variability would change quite a bit if these variables are capturing different (non-redundant) components of recharge suitability. The highest variability is seen in large squares again corresponding to the originally size of the sSF pixels, suggesting they are driving much of the variance.</w:t>
            </w:r>
          </w:p>
          <w:bookmarkEnd w:id="387"/>
        </w:tc>
      </w:tr>
    </w:tbl>
    <w:p>
      <w:r>
        <w:pict>
          <v:rect style="width:0;height:1.5pt" o:hralign="center" o:hrstd="t" o:hr="t"/>
        </w:pict>
      </w:r>
    </w:p>
    <w:bookmarkEnd w:id="388"/>
    <w:bookmarkEnd w:id="389"/>
    <w:bookmarkEnd w:id="390"/>
    <w:sectPr>
      <w:footnotePr>
        <w:numRestart w:val="eachSect"/>
      </w:footnotePr>
    </w:sectPr>
  </w:body>
</w:document>
</file>

<file path=word/comments.xml><?xml version="1.0" encoding="utf-8"?>
<w:comment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file>

<file path=word/fontTable.xml><?xml version="1.0" encoding="utf-8"?>
<w:fonts xmlns:r="http://schemas.openxmlformats.org/officeDocument/2006/relationships" xmlns:w="http://schemas.openxmlformats.org/wordprocessingml/2006/main">
  <w:font w:name="Aptos">
    <w:panose1 w:val="020B0004020202020204"/>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Aptos Display">
    <w:panose1 w:val="020B0004020202020204"/>
    <w:charset w:val="00"/>
    <w:family w:val="swiss"/>
    <w:pitch w:val="variable"/>
    <w:sig w:usb0="20000287" w:usb1="00000003" w:usb2="00000000" w:usb3="00000000" w:csb0="0000019F" w:csb1="00000000"/>
  </w:font>
  <w:font w:name="Cambria Math">
    <w:panose1 w:val="02040503050406030204"/>
    <w:charset w:val="00"/>
    <w:family w:val="roman"/>
    <w:pitch w:val="variable"/>
    <w:sig w:usb0="E00002FF" w:usb1="420024FF" w:usb2="00000000" w:usb3="00000000" w:csb0="0000019F" w:csb1="00000000"/>
  </w:font>
  <w:font w:name="Courier New">
    <w:panose1 w:val="02070309020205020404"/>
    <w:charset w:val="00"/>
    <w:family w:val="modern"/>
    <w:pitch w:val="fixed"/>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2AFF" w:usb1="C000247B" w:usb2="00000009" w:usb3="00000000" w:csb0="000001FF" w:csb1="00000000"/>
  </w:font>
</w:fonts>
</file>

<file path=word/footnotes.xml><?xml version="1.0" encoding="utf-8"?>
<w:footnote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footnote w:type="continuationSeparator" w:id="0">
    <w:p>
      <w:r>
        <w:continuationSeparator/>
      </w:r>
    </w:p>
  </w:footnote>
  <w:footnote w:type="separator" w:id="-1">
    <w:p>
      <w:r>
        <w:separator/>
      </w:r>
    </w:p>
  </w:footnote>
</w:footnotes>
</file>

<file path=word/numbering.xml><?xml version="1.0" encoding="utf-8"?>
<w:numbering xmlns:w="http://schemas.openxmlformats.org/wordprocessingml/2006/main">
  <w:abstractNum w:abstractNumId="990">
    <w:nsid w:val="0000A990"/>
    <w:multiLevelType w:val="multilevel"/>
    <w:lvl w:ilvl="0">
      <w:numFmt w:val="bullet"/>
      <w:lvlText w:val=" "/>
      <w:lvlJc w:val="left"/>
      <w:pPr>
        <w:ind w:left="720" w:hanging="360"/>
      </w:pPr>
    </w:lvl>
    <w:lvl w:ilvl="1">
      <w:numFmt w:val="bullet"/>
      <w:lvlText w:val=" "/>
      <w:lvlJc w:val="left"/>
      <w:pPr>
        <w:ind w:left="1440" w:hanging="360"/>
      </w:pPr>
    </w:lvl>
    <w:lvl w:ilvl="2">
      <w:numFmt w:val="bullet"/>
      <w:lvlText w:val=" "/>
      <w:lvlJc w:val="left"/>
      <w:pPr>
        <w:ind w:left="2160" w:hanging="360"/>
      </w:pPr>
    </w:lvl>
    <w:lvl w:ilvl="3">
      <w:numFmt w:val="bullet"/>
      <w:lvlText w:val=" "/>
      <w:lvlJc w:val="left"/>
      <w:pPr>
        <w:ind w:left="2880" w:hanging="360"/>
      </w:pPr>
    </w:lvl>
    <w:lvl w:ilvl="4">
      <w:numFmt w:val="bullet"/>
      <w:lvlText w:val=" "/>
      <w:lvlJc w:val="left"/>
      <w:pPr>
        <w:ind w:left="3600" w:hanging="360"/>
      </w:pPr>
    </w:lvl>
    <w:lvl w:ilvl="5">
      <w:numFmt w:val="bullet"/>
      <w:lvlText w:val=" "/>
      <w:lvlJc w:val="left"/>
      <w:pPr>
        <w:ind w:left="4320" w:hanging="360"/>
      </w:pPr>
    </w:lvl>
    <w:lvl w:ilvl="6">
      <w:numFmt w:val="bullet"/>
      <w:lvlText w:val=" "/>
      <w:lvlJc w:val="left"/>
      <w:pPr>
        <w:ind w:left="5040" w:hanging="360"/>
      </w:pPr>
    </w:lvl>
    <w:lvl w:ilvl="7">
      <w:numFmt w:val="bullet"/>
      <w:lvlText w:val=" "/>
      <w:lvlJc w:val="left"/>
      <w:pPr>
        <w:ind w:left="5760" w:hanging="360"/>
      </w:pPr>
    </w:lvl>
    <w:lvl w:ilvl="8">
      <w:numFmt w:val="bullet"/>
      <w:lvlText w:val=" "/>
      <w:lvlJc w:val="left"/>
      <w:pPr>
        <w:ind w:left="6480" w:hanging="360"/>
      </w:pPr>
    </w:lvl>
  </w:abstractNum>
  <w:num w:numId="1000">
    <w:abstractNumId w:val="990"/>
  </w:num>
</w:numbering>
</file>

<file path=word/settings.xml><?xml version="1.0" encoding="utf-8"?>
<w:settings xmlns:m="http://schemas.openxmlformats.org/officeDocument/2006/math" xmlns:o="urn:schemas-microsoft-com:office:office" xmlns:r="http://schemas.openxmlformats.org/officeDocument/2006/relationships" xmlns:sl="http://schemas.openxmlformats.org/schemaLibrary/2006/main" xmlns:v="urn:schemas-microsoft-com:vml" xmlns:w="http://schemas.openxmlformats.org/wordprocessingml/2006/main" xmlns:w10="urn:schemas-microsoft-com:office:word">
  <w:zoom w:percent="100"/>
  <w:embedSystemFonts/>
  <w:proofState w:grammar="clean" w:spelling="clean"/>
  <w:stylePaneFormatFilter w:val="0004"/>
  <w:doNotTrackMoves/>
  <w:defaultTabStop w:val="720"/>
  <w:drawingGridHorizontalSpacing w:val="360"/>
  <w:drawingGridVerticalSpacing w:val="360"/>
  <w:displayHorizontalDrawingGridEvery w:val="0"/>
  <w:displayVerticalDrawingGridEvery w:val="0"/>
  <w:characterSpacingControl w:val="doNotCompress"/>
  <w:savePreviewPicture/>
  <w:rsids>
  </w:rsids>
  <w:themeFontLang w:val="en-US"/>
  <w:clrSchemeMapping w:accent1="accent1" w:accent2="accent2" w:accent3="accent3" w:accent4="accent4" w:accent5="accent5" w:accent6="accent6" w:bg1="light1" w:bg2="light2" w:followedHyperlink="followedHyperlink" w:hyperlink="hyperlink" w:t1="dark1" w:t2="dark2"/>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cstheme="minorBidi" w:eastAsiaTheme="minorHAnsi" w:hAnsiTheme="minorHAnsi"/>
        <w:sz w:val="24"/>
        <w:szCs w:val="24"/>
        <w:lang w:bidi="ar-SA" w:eastAsia="en-US" w:val="en-US"/>
      </w:rPr>
    </w:rPrDefault>
    <w:pPrDefault>
      <w:pPr>
        <w:spacing w:after="200"/>
      </w:pPr>
    </w:pPrDefault>
  </w:docDefaults>
  <w:latentStyles w:count="276" w:defLockedState="0" w:defQFormat="0" w:defSemiHidden="0" w:defUIPriority="0" w:defUnhideWhenUsed="0"/>
  <w:style w:default="1" w:styleId="Normal" w:type="paragraph">
    <w:name w:val="Normal"/>
    <w:qFormat/>
  </w:style>
  <w:style w:styleId="BodyText" w:type="paragraph">
    <w:name w:val="Body Text"/>
    <w:basedOn w:val="Normal"/>
    <w:link w:val="BodyTextChar"/>
    <w:qFormat/>
    <w:pPr>
      <w:spacing w:after="180" w:before="180"/>
    </w:pPr>
  </w:style>
  <w:style w:customStyle="1" w:styleId="FirstParagraph" w:type="paragraph">
    <w:name w:val="First Paragraph"/>
    <w:basedOn w:val="BodyText"/>
    <w:next w:val="BodyText"/>
    <w:qFormat/>
  </w:style>
  <w:style w:customStyle="1" w:styleId="Compact" w:type="paragraph">
    <w:name w:val="Compact"/>
    <w:basedOn w:val="BodyText"/>
    <w:qFormat/>
    <w:pPr>
      <w:spacing w:after="36" w:before="36"/>
    </w:pPr>
  </w:style>
  <w:style w:styleId="Title" w:type="paragraph">
    <w:name w:val="Title"/>
    <w:basedOn w:val="Normal"/>
    <w:next w:val="BodyText"/>
    <w:link w:val="TitleChar"/>
    <w:uiPriority w:val="10"/>
    <w:qFormat/>
    <w:rsid w:val="00A10FD9"/>
    <w:pPr>
      <w:spacing w:after="80" w:line="240" w:lineRule="auto"/>
      <w:contextualSpacing/>
      <w:jc w:val="center"/>
    </w:pPr>
    <w:rPr>
      <w:rFonts w:asciiTheme="majorHAnsi" w:cstheme="majorBidi" w:eastAsiaTheme="majorEastAsia" w:hAnsiTheme="majorHAnsi"/>
      <w:sz w:val="56"/>
      <w:szCs w:val="56"/>
    </w:rPr>
  </w:style>
  <w:style w:customStyle="1" w:styleId="TitleChar" w:type="character">
    <w:name w:val="Title Char"/>
    <w:basedOn w:val="DefaultParagraphFont"/>
    <w:link w:val="Title"/>
    <w:uiPriority w:val="10"/>
    <w:rsid w:val="00A10FD9"/>
    <w:rPr>
      <w:rFonts w:asciiTheme="majorHAnsi" w:cstheme="majorBidi" w:eastAsiaTheme="majorEastAsia" w:hAnsiTheme="majorHAnsi"/>
      <w:sz w:val="56"/>
      <w:szCs w:val="56"/>
    </w:rPr>
  </w:style>
  <w:style w:styleId="Subtitle" w:type="paragraph">
    <w:name w:val="Subtitle"/>
    <w:basedOn w:val="Title"/>
    <w:next w:val="BodyText"/>
    <w:link w:val="SubtitleChar"/>
    <w:uiPriority w:val="11"/>
    <w:qFormat/>
    <w:rsid w:val="00A10FD9"/>
    <w:pPr>
      <w:numPr>
        <w:ilvl w:val="1"/>
      </w:numPr>
    </w:pPr>
    <w:rPr>
      <w:rFonts w:cstheme="majorBidi" w:eastAsiaTheme="majorEastAsia"/>
      <w:spacing w:val="15"/>
      <w:sz w:val="28"/>
      <w:szCs w:val="28"/>
    </w:rPr>
  </w:style>
  <w:style w:customStyle="1" w:styleId="SubtitleChar" w:type="character">
    <w:name w:val="Subtitle Char"/>
    <w:basedOn w:val="DefaultParagraphFont"/>
    <w:link w:val="Subtitle"/>
    <w:uiPriority w:val="11"/>
    <w:rsid w:val="00A10FD9"/>
    <w:rPr>
      <w:rFonts w:cstheme="majorBidi" w:eastAsiaTheme="majorEastAsia"/>
      <w:color w:themeColor="text1" w:themeTint="A6" w:val="595959"/>
      <w:spacing w:val="15"/>
      <w:sz w:val="28"/>
      <w:szCs w:val="28"/>
    </w:rPr>
  </w:style>
  <w:style w:customStyle="1" w:styleId="Author" w:type="paragraph">
    <w:name w:val="Author"/>
    <w:basedOn w:val="Title"/>
    <w:next w:val="BodyText"/>
    <w:qFormat/>
    <w:pPr>
      <w:keepNext/>
      <w:keepLines/>
    </w:pPr>
    <w:rPr>
      <w:sz w:val="24"/>
      <w:szCs w:val="24"/>
    </w:rPr>
  </w:style>
  <w:style w:styleId="Date" w:type="paragraph">
    <w:name w:val="Date"/>
    <w:basedOn w:val="Title"/>
    <w:next w:val="BodyText"/>
    <w:qFormat/>
    <w:pPr>
      <w:keepNext/>
      <w:keepLines/>
    </w:pPr>
    <w:rPr>
      <w:sz w:val="24"/>
      <w:szCs w:val="24"/>
    </w:rPr>
  </w:style>
  <w:style w:customStyle="1" w:styleId="AbstractTitle" w:type="paragraph">
    <w:name w:val="Abstract Title"/>
    <w:basedOn w:val="Normal"/>
    <w:next w:val="Abstract"/>
    <w:qFormat/>
    <w:pPr>
      <w:keepNext/>
      <w:keepLines/>
      <w:spacing w:after="0" w:before="300"/>
      <w:jc w:val="center"/>
    </w:pPr>
    <w:rPr>
      <w:b/>
      <w:sz w:val="20"/>
      <w:szCs w:val="20"/>
    </w:rPr>
  </w:style>
  <w:style w:customStyle="1" w:styleId="Abstract" w:type="paragraph">
    <w:name w:val="Abstract"/>
    <w:basedOn w:val="Normal"/>
    <w:next w:val="BodyText"/>
    <w:qFormat/>
    <w:pPr>
      <w:keepNext/>
      <w:keepLines/>
      <w:spacing w:after="300" w:before="100"/>
    </w:pPr>
    <w:rPr>
      <w:sz w:val="20"/>
      <w:szCs w:val="20"/>
    </w:rPr>
  </w:style>
  <w:style w:styleId="Bibliography" w:type="paragraph">
    <w:name w:val="Bibliography"/>
    <w:basedOn w:val="Normal"/>
    <w:next w:val="Bibliography"/>
    <w:qFormat/>
    <w:pPr/>
    <w:rPr/>
  </w:style>
  <w:style w:styleId="Heading1" w:type="paragraph">
    <w:name w:val="heading 1"/>
    <w:basedOn w:val="Normal"/>
    <w:next w:val="BodyText"/>
    <w:link w:val="Heading1Char"/>
    <w:uiPriority w:val="9"/>
    <w:qFormat/>
    <w:rsid w:val="00A10FD9"/>
    <w:pPr>
      <w:keepNext/>
      <w:keepLines/>
      <w:spacing w:after="80" w:before="360"/>
      <w:outlineLvl w:val="0"/>
    </w:pPr>
    <w:rPr>
      <w:rFonts w:asciiTheme="majorHAnsi" w:cstheme="majorBidi" w:eastAsiaTheme="majorEastAsia" w:hAnsiTheme="majorHAnsi"/>
      <w:color w:themeColor="accent1" w:themeShade="BF" w:val="0F4761"/>
      <w:sz w:val="40"/>
      <w:szCs w:val="40"/>
    </w:rPr>
  </w:style>
  <w:style w:styleId="Heading2" w:type="paragraph">
    <w:name w:val="heading 2"/>
    <w:basedOn w:val="Normal"/>
    <w:next w:val="BodyText"/>
    <w:link w:val="Heading2Char"/>
    <w:uiPriority w:val="9"/>
    <w:semiHidden/>
    <w:unhideWhenUsed/>
    <w:qFormat/>
    <w:rsid w:val="00A10FD9"/>
    <w:pPr>
      <w:keepNext/>
      <w:keepLines/>
      <w:spacing w:after="80" w:before="160"/>
      <w:outlineLvl w:val="1"/>
    </w:pPr>
    <w:rPr>
      <w:rFonts w:asciiTheme="majorHAnsi" w:cstheme="majorBidi" w:eastAsiaTheme="majorEastAsia" w:hAnsiTheme="majorHAnsi"/>
      <w:color w:themeColor="accent1" w:themeShade="BF" w:val="0F4761"/>
      <w:sz w:val="32"/>
      <w:szCs w:val="32"/>
    </w:rPr>
  </w:style>
  <w:style w:styleId="Heading3" w:type="paragraph">
    <w:name w:val="heading 3"/>
    <w:basedOn w:val="Normal"/>
    <w:next w:val="BodyText"/>
    <w:link w:val="Heading3Char"/>
    <w:uiPriority w:val="9"/>
    <w:semiHidden/>
    <w:unhideWhenUsed/>
    <w:qFormat/>
    <w:rsid w:val="00A10FD9"/>
    <w:pPr>
      <w:keepNext/>
      <w:keepLines/>
      <w:spacing w:after="80" w:before="160"/>
      <w:outlineLvl w:val="2"/>
    </w:pPr>
    <w:rPr>
      <w:rFonts w:cstheme="majorBidi" w:eastAsiaTheme="majorEastAsia"/>
      <w:color w:themeColor="accent1" w:themeShade="BF" w:val="0F4761"/>
      <w:sz w:val="28"/>
      <w:szCs w:val="28"/>
    </w:rPr>
  </w:style>
  <w:style w:styleId="Heading4" w:type="paragraph">
    <w:name w:val="heading 4"/>
    <w:basedOn w:val="Normal"/>
    <w:next w:val="BodyText"/>
    <w:link w:val="Heading4Char"/>
    <w:uiPriority w:val="9"/>
    <w:semiHidden/>
    <w:unhideWhenUsed/>
    <w:qFormat/>
    <w:rsid w:val="00A10FD9"/>
    <w:pPr>
      <w:keepNext/>
      <w:keepLines/>
      <w:spacing w:after="40" w:before="80"/>
      <w:outlineLvl w:val="3"/>
    </w:pPr>
    <w:rPr>
      <w:rFonts w:cstheme="majorBidi" w:eastAsiaTheme="majorEastAsia"/>
      <w:i/>
      <w:iCs/>
      <w:color w:themeColor="accent1" w:themeShade="BF" w:val="0F4761"/>
    </w:rPr>
  </w:style>
  <w:style w:styleId="Heading5" w:type="paragraph">
    <w:name w:val="heading 5"/>
    <w:basedOn w:val="Normal"/>
    <w:next w:val="BodyText"/>
    <w:link w:val="Heading5Char"/>
    <w:uiPriority w:val="9"/>
    <w:semiHidden/>
    <w:unhideWhenUsed/>
    <w:qFormat/>
    <w:rsid w:val="00A10FD9"/>
    <w:pPr>
      <w:keepNext/>
      <w:keepLines/>
      <w:spacing w:after="40" w:before="80"/>
      <w:outlineLvl w:val="4"/>
    </w:pPr>
    <w:rPr>
      <w:rFonts w:cstheme="majorBidi" w:eastAsiaTheme="majorEastAsia"/>
      <w:color w:themeColor="accent1" w:themeShade="BF" w:val="0F4761"/>
    </w:rPr>
  </w:style>
  <w:style w:styleId="Heading6" w:type="paragraph">
    <w:name w:val="heading 6"/>
    <w:basedOn w:val="Normal"/>
    <w:next w:val="BodyText"/>
    <w:link w:val="Heading6Char"/>
    <w:uiPriority w:val="9"/>
    <w:semiHidden/>
    <w:unhideWhenUsed/>
    <w:qFormat/>
    <w:rsid w:val="00A10FD9"/>
    <w:pPr>
      <w:keepNext/>
      <w:keepLines/>
      <w:spacing w:after="0" w:before="40"/>
      <w:outlineLvl w:val="5"/>
    </w:pPr>
    <w:rPr>
      <w:rFonts w:cstheme="majorBidi" w:eastAsiaTheme="majorEastAsia"/>
      <w:i/>
      <w:iCs/>
      <w:color w:themeColor="text1" w:themeTint="A6" w:val="595959"/>
    </w:rPr>
  </w:style>
  <w:style w:styleId="Heading7" w:type="paragraph">
    <w:name w:val="heading 7"/>
    <w:basedOn w:val="Normal"/>
    <w:next w:val="BodyText"/>
    <w:link w:val="Heading7Char"/>
    <w:uiPriority w:val="9"/>
    <w:semiHidden/>
    <w:unhideWhenUsed/>
    <w:qFormat/>
    <w:rsid w:val="00A10FD9"/>
    <w:pPr>
      <w:keepNext/>
      <w:keepLines/>
      <w:spacing w:after="0" w:before="40"/>
      <w:outlineLvl w:val="6"/>
    </w:pPr>
    <w:rPr>
      <w:rFonts w:cstheme="majorBidi" w:eastAsiaTheme="majorEastAsia"/>
      <w:color w:themeColor="text1" w:themeTint="A6" w:val="595959"/>
    </w:rPr>
  </w:style>
  <w:style w:styleId="Heading8" w:type="paragraph">
    <w:name w:val="heading 8"/>
    <w:basedOn w:val="Normal"/>
    <w:next w:val="BodyText"/>
    <w:link w:val="Heading8Char"/>
    <w:uiPriority w:val="9"/>
    <w:semiHidden/>
    <w:unhideWhenUsed/>
    <w:qFormat/>
    <w:rsid w:val="00A10FD9"/>
    <w:pPr>
      <w:keepNext/>
      <w:keepLines/>
      <w:spacing w:after="0"/>
      <w:outlineLvl w:val="7"/>
    </w:pPr>
    <w:rPr>
      <w:rFonts w:cstheme="majorBidi" w:eastAsiaTheme="majorEastAsia"/>
      <w:i/>
      <w:iCs/>
      <w:color w:themeColor="text1" w:themeTint="D8" w:val="272727"/>
    </w:rPr>
  </w:style>
  <w:style w:styleId="Heading9" w:type="paragraph">
    <w:name w:val="heading 9"/>
    <w:basedOn w:val="Normal"/>
    <w:next w:val="BodyText"/>
    <w:link w:val="Heading9Char"/>
    <w:uiPriority w:val="9"/>
    <w:semiHidden/>
    <w:unhideWhenUsed/>
    <w:qFormat/>
    <w:rsid w:val="00A10FD9"/>
    <w:pPr>
      <w:keepNext/>
      <w:keepLines/>
      <w:spacing w:after="0"/>
      <w:outlineLvl w:val="8"/>
    </w:pPr>
    <w:rPr>
      <w:rFonts w:cstheme="majorBidi" w:eastAsiaTheme="majorEastAsia"/>
      <w:color w:themeColor="text1" w:themeTint="D8" w:val="272727"/>
    </w:rPr>
  </w:style>
  <w:style w:customStyle="1" w:styleId="Heading1Char" w:type="character">
    <w:name w:val="Heading 1 Char"/>
    <w:basedOn w:val="DefaultParagraphFont"/>
    <w:link w:val="Heading1"/>
    <w:uiPriority w:val="9"/>
    <w:rsid w:val="00A10FD9"/>
    <w:rPr>
      <w:rFonts w:asciiTheme="majorHAnsi" w:cstheme="majorBidi" w:eastAsiaTheme="majorEastAsia" w:hAnsiTheme="majorHAnsi"/>
      <w:color w:themeColor="accent1" w:themeShade="BF" w:val="0F4761"/>
      <w:sz w:val="40"/>
      <w:szCs w:val="40"/>
    </w:rPr>
  </w:style>
  <w:style w:customStyle="1" w:styleId="Heading2Char" w:type="character">
    <w:name w:val="Heading 2 Char"/>
    <w:basedOn w:val="DefaultParagraphFont"/>
    <w:link w:val="Heading2"/>
    <w:uiPriority w:val="9"/>
    <w:semiHidden/>
    <w:rsid w:val="00A10FD9"/>
    <w:rPr>
      <w:rFonts w:asciiTheme="majorHAnsi" w:cstheme="majorBidi" w:eastAsiaTheme="majorEastAsia" w:hAnsiTheme="majorHAnsi"/>
      <w:color w:themeColor="accent1" w:themeShade="BF" w:val="0F4761"/>
      <w:sz w:val="32"/>
      <w:szCs w:val="32"/>
    </w:rPr>
  </w:style>
  <w:style w:customStyle="1" w:styleId="Heading3Char" w:type="character">
    <w:name w:val="Heading 3 Char"/>
    <w:basedOn w:val="DefaultParagraphFont"/>
    <w:link w:val="Heading3"/>
    <w:uiPriority w:val="9"/>
    <w:semiHidden/>
    <w:rsid w:val="00A10FD9"/>
    <w:rPr>
      <w:rFonts w:cstheme="majorBidi" w:eastAsiaTheme="majorEastAsia"/>
      <w:color w:themeColor="accent1" w:themeShade="BF" w:val="0F4761"/>
      <w:sz w:val="28"/>
      <w:szCs w:val="28"/>
    </w:rPr>
  </w:style>
  <w:style w:customStyle="1" w:styleId="Heading4Char" w:type="character">
    <w:name w:val="Heading 4 Char"/>
    <w:basedOn w:val="DefaultParagraphFont"/>
    <w:link w:val="Heading4"/>
    <w:uiPriority w:val="9"/>
    <w:semiHidden/>
    <w:rsid w:val="00A10FD9"/>
    <w:rPr>
      <w:rFonts w:cstheme="majorBidi" w:eastAsiaTheme="majorEastAsia"/>
      <w:i/>
      <w:iCs/>
      <w:color w:themeColor="accent1" w:themeShade="BF" w:val="0F4761"/>
    </w:rPr>
  </w:style>
  <w:style w:customStyle="1" w:styleId="Heading5Char" w:type="character">
    <w:name w:val="Heading 5 Char"/>
    <w:basedOn w:val="DefaultParagraphFont"/>
    <w:link w:val="Heading5"/>
    <w:uiPriority w:val="9"/>
    <w:semiHidden/>
    <w:rsid w:val="00A10FD9"/>
    <w:rPr>
      <w:rFonts w:cstheme="majorBidi" w:eastAsiaTheme="majorEastAsia"/>
      <w:color w:themeColor="accent1" w:themeShade="BF" w:val="0F4761"/>
    </w:rPr>
  </w:style>
  <w:style w:customStyle="1" w:styleId="Heading6Char" w:type="character">
    <w:name w:val="Heading 6 Char"/>
    <w:basedOn w:val="DefaultParagraphFont"/>
    <w:link w:val="Heading6"/>
    <w:uiPriority w:val="9"/>
    <w:semiHidden/>
    <w:rsid w:val="00A10FD9"/>
    <w:rPr>
      <w:rFonts w:cstheme="majorBidi" w:eastAsiaTheme="majorEastAsia"/>
      <w:i/>
      <w:iCs/>
      <w:color w:themeColor="text1" w:themeTint="A6" w:val="595959"/>
    </w:rPr>
  </w:style>
  <w:style w:customStyle="1" w:styleId="Heading7Char" w:type="character">
    <w:name w:val="Heading 7 Char"/>
    <w:basedOn w:val="DefaultParagraphFont"/>
    <w:link w:val="Heading7"/>
    <w:uiPriority w:val="9"/>
    <w:semiHidden/>
    <w:rsid w:val="00A10FD9"/>
    <w:rPr>
      <w:rFonts w:cstheme="majorBidi" w:eastAsiaTheme="majorEastAsia"/>
      <w:color w:themeColor="text1" w:themeTint="A6" w:val="595959"/>
    </w:rPr>
  </w:style>
  <w:style w:customStyle="1" w:styleId="Heading8Char" w:type="character">
    <w:name w:val="Heading 8 Char"/>
    <w:basedOn w:val="DefaultParagraphFont"/>
    <w:link w:val="Heading8"/>
    <w:uiPriority w:val="9"/>
    <w:semiHidden/>
    <w:rsid w:val="00A10FD9"/>
    <w:rPr>
      <w:rFonts w:cstheme="majorBidi" w:eastAsiaTheme="majorEastAsia"/>
      <w:i/>
      <w:iCs/>
      <w:color w:themeColor="text1" w:themeTint="D8" w:val="272727"/>
    </w:rPr>
  </w:style>
  <w:style w:customStyle="1" w:styleId="Heading9Char" w:type="character">
    <w:name w:val="Heading 9 Char"/>
    <w:basedOn w:val="DefaultParagraphFont"/>
    <w:link w:val="Heading9"/>
    <w:uiPriority w:val="9"/>
    <w:semiHidden/>
    <w:rsid w:val="00A10FD9"/>
    <w:rPr>
      <w:rFonts w:cstheme="majorBidi" w:eastAsiaTheme="majorEastAsia"/>
      <w:color w:themeColor="text1" w:themeTint="D8" w:val="272727"/>
    </w:rPr>
  </w:style>
  <w:style w:styleId="BlockText" w:type="paragraph">
    <w:name w:val="Block Text"/>
    <w:basedOn w:val="BodyText"/>
    <w:next w:val="BodyText"/>
    <w:uiPriority w:val="9"/>
    <w:unhideWhenUsed/>
    <w:qFormat/>
    <w:pPr>
      <w:spacing w:after="100" w:before="100"/>
      <w:ind w:firstLine="0" w:left="480" w:right="480"/>
    </w:pPr>
  </w:style>
  <w:style w:styleId="FootnoteText" w:type="paragraph">
    <w:name w:val="Footnote Text"/>
    <w:basedOn w:val="Normal"/>
    <w:next w:val="FootnoteText"/>
    <w:uiPriority w:val="9"/>
    <w:unhideWhenUsed/>
    <w:qFormat/>
  </w:style>
  <w:style w:styleId="FootnoteBlockText" w:type="paragraph">
    <w:name w:val="Footnote Block Text"/>
    <w:basedOn w:val="FootnoteText"/>
    <w:next w:val="FootnoteText"/>
    <w:uiPriority w:val="9"/>
    <w:unhideWhenUsed/>
    <w:qFormat/>
    <w:pPr>
      <w:spacing w:after="100" w:before="100"/>
      <w:ind w:firstLine="0" w:left="480" w:right="480"/>
    </w:pPr>
  </w:style>
  <w:style w:default="1" w:styleId="DefaultParagraphFont" w:type="character">
    <w:name w:val="Default Paragraph Font"/>
    <w:semiHidden/>
    <w:unhideWhenUsed/>
  </w:style>
  <w:style w:default="1" w:styleId="Table" w:type="table">
    <w:name w:val="Table"/>
    <w:basedOn w:val="TableNormal"/>
    <w:semiHidden/>
    <w:unhideWhenUsed/>
    <w:qFormat/>
    <w:tblPr>
      <w:tblInd w:type="dxa" w:w="0"/>
      <w:tblCellMar>
        <w:top w:type="dxa" w:w="0"/>
        <w:left w:type="dxa" w:w="108"/>
        <w:bottom w:type="dxa" w:w="0"/>
        <w:right w:type="dxa" w:w="108"/>
      </w:tblCellMar>
    </w:tblPr>
    <w:tblStylePr w:type="firstRow">
      <w:tblPr>
        <w:jc w:val="left"/>
        <w:tblInd w:type="dxa" w:w="0"/>
      </w:tblPr>
      <w:trPr>
        <w:jc w:val="left"/>
      </w:trPr>
      <w:tcPr>
        <w:tcBorders>
          <w:bottom w:val="single"/>
        </w:tcBorders>
        <w:vAlign w:val="bottom"/>
      </w:tcPr>
    </w:tblStylePr>
  </w:style>
  <w:style w:customStyle="1" w:styleId="DefinitionTerm" w:type="paragraph">
    <w:name w:val="Definition Term"/>
    <w:basedOn w:val="Normal"/>
    <w:next w:val="Definition"/>
    <w:pPr>
      <w:keepNext/>
      <w:keepLines/>
      <w:spacing w:after="0"/>
    </w:pPr>
    <w:rPr>
      <w:b/>
    </w:rPr>
  </w:style>
  <w:style w:customStyle="1" w:styleId="Definition" w:type="paragraph">
    <w:name w:val="Definition"/>
    <w:basedOn w:val="Normal"/>
  </w:style>
  <w:style w:styleId="Caption" w:type="paragraph">
    <w:name w:val="Caption"/>
    <w:basedOn w:val="Normal"/>
    <w:link w:val="BodyTextChar"/>
    <w:pPr>
      <w:spacing w:after="120" w:before="0"/>
    </w:pPr>
    <w:rPr>
      <w:i/>
    </w:rPr>
  </w:style>
  <w:style w:customStyle="1" w:styleId="TableCaption" w:type="paragraph">
    <w:name w:val="Table Caption"/>
    <w:basedOn w:val="Caption"/>
    <w:pPr>
      <w:keepNext/>
    </w:pPr>
  </w:style>
  <w:style w:customStyle="1" w:styleId="ImageCaption" w:type="paragraph">
    <w:name w:val="Image Caption"/>
    <w:basedOn w:val="Caption"/>
  </w:style>
  <w:style w:customStyle="1" w:styleId="Figure" w:type="paragraph">
    <w:name w:val="Figure"/>
    <w:basedOn w:val="Normal"/>
  </w:style>
  <w:style w:customStyle="1" w:styleId="CaptionedFigure" w:type="paragraph">
    <w:name w:val="Captioned Figure"/>
    <w:basedOn w:val="Figure"/>
    <w:pPr>
      <w:keepNext/>
    </w:pPr>
  </w:style>
  <w:style w:customStyle="1" w:styleId="BodyTextChar" w:type="character">
    <w:name w:val="Body Text Char"/>
    <w:basedOn w:val="DefaultParagraphFont"/>
    <w:link w:val="BodyText"/>
  </w:style>
  <w:style w:customStyle="1" w:styleId="VerbatimChar" w:type="character">
    <w:name w:val="Verbatim Char"/>
    <w:basedOn w:val="BodyTextChar"/>
    <w:rPr>
      <w:rFonts w:ascii="Consolas" w:hAnsi="Consolas"/>
      <w:sz w:val="22"/>
    </w:rPr>
  </w:style>
  <w:style w:customStyle="1" w:styleId="SectionNumber" w:type="character">
    <w:name w:val="Section Number"/>
    <w:basedOn w:val="BodyTextChar"/>
  </w:style>
  <w:style w:styleId="FootnoteReference" w:type="character">
    <w:name w:val="Footnote Reference"/>
    <w:basedOn w:val="BodyTextChar"/>
    <w:rPr>
      <w:vertAlign w:val="superscript"/>
    </w:rPr>
  </w:style>
  <w:style w:styleId="Hyperlink" w:type="character">
    <w:name w:val="Hyperlink"/>
    <w:basedOn w:val="BodyTextChar"/>
    <w:rPr>
      <w:color w:themeColor="accent1" w:val="4F81BD"/>
    </w:rPr>
  </w:style>
  <w:style w:styleId="TOCHeading" w:type="paragraph">
    <w:name w:val="TOC Heading"/>
    <w:basedOn w:val="Heading1"/>
    <w:next w:val="BodyText"/>
    <w:uiPriority w:val="39"/>
    <w:unhideWhenUsed/>
    <w:qFormat/>
    <w:pPr>
      <w:spacing w:before="240" w:line="259" w:lineRule="auto"/>
      <w:outlineLvl w:val="9"/>
    </w:pPr>
    <w:rPr>
      <w:rFonts w:asciiTheme="majorHAnsi" w:cstheme="majorBidi" w:eastAsiaTheme="majorEastAsia" w:hAnsiTheme="majorHAnsi"/>
      <w:b w:val="0"/>
      <w:bCs w:val="0"/>
      <w:color w:themeColor="accent1" w:themeShade="BF" w:val="365F91"/>
    </w:rPr>
  </w:style>
  <w:style w:type="paragraph" w:customStyle="1" w:styleId="SourceCode">
    <w:name w:val="Source Code"/>
    <w:basedOn w:val="Normal"/>
    <w:link w:val="VerbatimChar"/>
    <w:pPr>
      <w:wordWrap w:val="off"/>
      <w:shd w:val="clear" w:fill="f1f3f5"/>
    </w:pPr>
  </w:style>
  <w:style w:type="character" w:customStyle="1" w:styleId="KeywordTok">
    <w:name w:val="KeywordTok"/>
    <w:basedOn w:val="VerbatimChar"/>
    <w:rPr>
      <w:b/>
      <w:color w:val="003b4f"/>
      <w:shd w:val="clear" w:fill="f1f3f5"/>
    </w:rPr>
  </w:style>
  <w:style w:type="character" w:customStyle="1" w:styleId="DataTypeTok">
    <w:name w:val="DataTypeTok"/>
    <w:basedOn w:val="VerbatimChar"/>
    <w:rPr>
      <w:color w:val="ad0000"/>
      <w:shd w:val="clear" w:fill="f1f3f5"/>
    </w:rPr>
  </w:style>
  <w:style w:type="character" w:customStyle="1" w:styleId="DecValTok">
    <w:name w:val="DecValTok"/>
    <w:basedOn w:val="VerbatimChar"/>
    <w:rPr>
      <w:color w:val="ad0000"/>
      <w:shd w:val="clear" w:fill="f1f3f5"/>
    </w:rPr>
  </w:style>
  <w:style w:type="character" w:customStyle="1" w:styleId="BaseNTok">
    <w:name w:val="BaseNTok"/>
    <w:basedOn w:val="VerbatimChar"/>
    <w:rPr>
      <w:color w:val="ad0000"/>
      <w:shd w:val="clear" w:fill="f1f3f5"/>
    </w:rPr>
  </w:style>
  <w:style w:type="character" w:customStyle="1" w:styleId="FloatTok">
    <w:name w:val="FloatTok"/>
    <w:basedOn w:val="VerbatimChar"/>
    <w:rPr>
      <w:color w:val="ad0000"/>
      <w:shd w:val="clear" w:fill="f1f3f5"/>
    </w:rPr>
  </w:style>
  <w:style w:type="character" w:customStyle="1" w:styleId="ConstantTok">
    <w:name w:val="ConstantTok"/>
    <w:basedOn w:val="VerbatimChar"/>
    <w:rPr>
      <w:color w:val="8f5902"/>
      <w:shd w:val="clear" w:fill="f1f3f5"/>
    </w:rPr>
  </w:style>
  <w:style w:type="character" w:customStyle="1" w:styleId="CharTok">
    <w:name w:val="CharTok"/>
    <w:basedOn w:val="VerbatimChar"/>
    <w:rPr>
      <w:color w:val="20794d"/>
      <w:shd w:val="clear" w:fill="f1f3f5"/>
    </w:rPr>
  </w:style>
  <w:style w:type="character" w:customStyle="1" w:styleId="SpecialCharTok">
    <w:name w:val="SpecialCharTok"/>
    <w:basedOn w:val="VerbatimChar"/>
    <w:rPr>
      <w:color w:val="5e5e5e"/>
      <w:shd w:val="clear" w:fill="f1f3f5"/>
    </w:rPr>
  </w:style>
  <w:style w:type="character" w:customStyle="1" w:styleId="StringTok">
    <w:name w:val="StringTok"/>
    <w:basedOn w:val="VerbatimChar"/>
    <w:rPr>
      <w:color w:val="20794d"/>
      <w:shd w:val="clear" w:fill="f1f3f5"/>
    </w:rPr>
  </w:style>
  <w:style w:type="character" w:customStyle="1" w:styleId="VerbatimStringTok">
    <w:name w:val="VerbatimStringTok"/>
    <w:basedOn w:val="VerbatimChar"/>
    <w:rPr>
      <w:color w:val="20794d"/>
      <w:shd w:val="clear" w:fill="f1f3f5"/>
    </w:rPr>
  </w:style>
  <w:style w:type="character" w:customStyle="1" w:styleId="SpecialStringTok">
    <w:name w:val="SpecialStringTok"/>
    <w:basedOn w:val="VerbatimChar"/>
    <w:rPr>
      <w:color w:val="20794d"/>
      <w:shd w:val="clear" w:fill="f1f3f5"/>
    </w:rPr>
  </w:style>
  <w:style w:type="character" w:customStyle="1" w:styleId="ImportTok">
    <w:name w:val="ImportTok"/>
    <w:basedOn w:val="VerbatimChar"/>
    <w:rPr>
      <w:color w:val="00769e"/>
      <w:shd w:val="clear" w:fill="f1f3f5"/>
    </w:rPr>
  </w:style>
  <w:style w:type="character" w:customStyle="1" w:styleId="CommentTok">
    <w:name w:val="CommentTok"/>
    <w:basedOn w:val="VerbatimChar"/>
    <w:rPr>
      <w:color w:val="5e5e5e"/>
      <w:shd w:val="clear" w:fill="f1f3f5"/>
    </w:rPr>
  </w:style>
  <w:style w:type="character" w:customStyle="1" w:styleId="DocumentationTok">
    <w:name w:val="DocumentationTok"/>
    <w:basedOn w:val="VerbatimChar"/>
    <w:rPr>
      <w:i/>
      <w:color w:val="5e5e5e"/>
      <w:shd w:val="clear" w:fill="f1f3f5"/>
    </w:rPr>
  </w:style>
  <w:style w:type="character" w:customStyle="1" w:styleId="AnnotationTok">
    <w:name w:val="AnnotationTok"/>
    <w:basedOn w:val="VerbatimChar"/>
    <w:rPr>
      <w:color w:val="5e5e5e"/>
      <w:shd w:val="clear" w:fill="f1f3f5"/>
    </w:rPr>
  </w:style>
  <w:style w:type="character" w:customStyle="1" w:styleId="CommentVarTok">
    <w:name w:val="CommentVarTok"/>
    <w:basedOn w:val="VerbatimChar"/>
    <w:rPr>
      <w:i/>
      <w:color w:val="5e5e5e"/>
      <w:shd w:val="clear" w:fill="f1f3f5"/>
    </w:rPr>
  </w:style>
  <w:style w:type="character" w:customStyle="1" w:styleId="OtherTok">
    <w:name w:val="OtherTok"/>
    <w:basedOn w:val="VerbatimChar"/>
    <w:rPr>
      <w:color w:val="003b4f"/>
      <w:shd w:val="clear" w:fill="f1f3f5"/>
    </w:rPr>
  </w:style>
  <w:style w:type="character" w:customStyle="1" w:styleId="FunctionTok">
    <w:name w:val="FunctionTok"/>
    <w:basedOn w:val="VerbatimChar"/>
    <w:rPr>
      <w:color w:val="4758ab"/>
      <w:shd w:val="clear" w:fill="f1f3f5"/>
    </w:rPr>
  </w:style>
  <w:style w:type="character" w:customStyle="1" w:styleId="VariableTok">
    <w:name w:val="VariableTok"/>
    <w:basedOn w:val="VerbatimChar"/>
    <w:rPr>
      <w:color w:val="111111"/>
      <w:shd w:val="clear" w:fill="f1f3f5"/>
    </w:rPr>
  </w:style>
  <w:style w:type="character" w:customStyle="1" w:styleId="ControlFlowTok">
    <w:name w:val="ControlFlowTok"/>
    <w:basedOn w:val="VerbatimChar"/>
    <w:rPr>
      <w:b/>
      <w:color w:val="003b4f"/>
      <w:shd w:val="clear" w:fill="f1f3f5"/>
    </w:rPr>
  </w:style>
  <w:style w:type="character" w:customStyle="1" w:styleId="OperatorTok">
    <w:name w:val="OperatorTok"/>
    <w:basedOn w:val="VerbatimChar"/>
    <w:rPr>
      <w:color w:val="5e5e5e"/>
      <w:shd w:val="clear" w:fill="f1f3f5"/>
    </w:rPr>
  </w:style>
  <w:style w:type="character" w:customStyle="1" w:styleId="BuiltInTok">
    <w:name w:val="BuiltInTok"/>
    <w:basedOn w:val="VerbatimChar"/>
    <w:rPr>
      <w:color w:val="003b4f"/>
      <w:shd w:val="clear" w:fill="f1f3f5"/>
    </w:rPr>
  </w:style>
  <w:style w:type="character" w:customStyle="1" w:styleId="ExtensionTok">
    <w:name w:val="ExtensionTok"/>
    <w:basedOn w:val="VerbatimChar"/>
    <w:rPr>
      <w:color w:val="003b4f"/>
      <w:shd w:val="clear" w:fill="f1f3f5"/>
    </w:rPr>
  </w:style>
  <w:style w:type="character" w:customStyle="1" w:styleId="PreprocessorTok">
    <w:name w:val="PreprocessorTok"/>
    <w:basedOn w:val="VerbatimChar"/>
    <w:rPr>
      <w:color w:val="ad0000"/>
      <w:shd w:val="clear" w:fill="f1f3f5"/>
    </w:rPr>
  </w:style>
  <w:style w:type="character" w:customStyle="1" w:styleId="AttributeTok">
    <w:name w:val="AttributeTok"/>
    <w:basedOn w:val="VerbatimChar"/>
    <w:rPr>
      <w:color w:val="657422"/>
      <w:shd w:val="clear" w:fill="f1f3f5"/>
    </w:rPr>
  </w:style>
  <w:style w:type="character" w:customStyle="1" w:styleId="RegionMarkerTok">
    <w:name w:val="RegionMarkerTok"/>
    <w:basedOn w:val="VerbatimChar"/>
    <w:rPr>
      <w:color w:val="003b4f"/>
      <w:shd w:val="clear" w:fill="f1f3f5"/>
    </w:rPr>
  </w:style>
  <w:style w:type="character" w:customStyle="1" w:styleId="InformationTok">
    <w:name w:val="InformationTok"/>
    <w:basedOn w:val="VerbatimChar"/>
    <w:rPr>
      <w:color w:val="5e5e5e"/>
      <w:shd w:val="clear" w:fill="f1f3f5"/>
    </w:rPr>
  </w:style>
  <w:style w:type="character" w:customStyle="1" w:styleId="WarningTok">
    <w:name w:val="WarningTok"/>
    <w:basedOn w:val="VerbatimChar"/>
    <w:rPr>
      <w:i/>
      <w:color w:val="5e5e5e"/>
      <w:shd w:val="clear" w:fill="f1f3f5"/>
    </w:rPr>
  </w:style>
  <w:style w:type="character" w:customStyle="1" w:styleId="AlertTok">
    <w:name w:val="AlertTok"/>
    <w:basedOn w:val="VerbatimChar"/>
    <w:rPr>
      <w:color w:val="ad0000"/>
      <w:shd w:val="clear" w:fill="f1f3f5"/>
    </w:rPr>
  </w:style>
  <w:style w:type="character" w:customStyle="1" w:styleId="ErrorTok">
    <w:name w:val="ErrorTok"/>
    <w:basedOn w:val="VerbatimChar"/>
    <w:rPr>
      <w:color w:val="ad0000"/>
      <w:shd w:val="clear" w:fill="f1f3f5"/>
    </w:rPr>
  </w:style>
  <w:style w:type="character" w:customStyle="1" w:styleId="NormalTok">
    <w:name w:val="NormalTok"/>
    <w:basedOn w:val="VerbatimChar"/>
    <w:rPr>
      <w:color w:val="003b4f"/>
      <w:shd w:val="clear" w:fill="f1f3f5"/>
    </w:rPr>
  </w:style>
</w:styles>
</file>

<file path=word/webSettings.xml><?xml version="1.0" encoding="utf-8"?>
<ns0:webSettings xmlns:ns0="http://schemas.openxmlformats.org/wordprocessingml/2006/main">
  <ns0:allowPNG/>
  <ns0:doNotSaveAsSingleFile/>
</ns0:webSettings>
</file>

<file path=word/_rels/document.xml.rels><?xml version="1.0" encoding="UTF-8"?><Relationships xmlns="http://schemas.openxmlformats.org/package/2006/relationships"><Relationship Type="http://schemas.openxmlformats.org/officeDocument/2006/relationships/numbering" Id="rId1" Target="numbering.xml" /><Relationship Type="http://schemas.openxmlformats.org/officeDocument/2006/relationships/styles" Id="rId2" Target="styles.xml" /><Relationship Type="http://schemas.openxmlformats.org/officeDocument/2006/relationships/settings" Id="rId3" Target="settings.xml" /><Relationship Type="http://schemas.openxmlformats.org/officeDocument/2006/relationships/webSettings" Id="rId4" Target="webSettings.xml" /><Relationship Type="http://schemas.openxmlformats.org/officeDocument/2006/relationships/fontTable" Id="rId5" Target="fontTable.xml" /><Relationship Type="http://schemas.openxmlformats.org/officeDocument/2006/relationships/theme" Id="rId6" Target="theme/theme1.xml" /><Relationship Type="http://schemas.openxmlformats.org/officeDocument/2006/relationships/footnotes" Id="rId7" Target="footnotes.xml" /><Relationship Type="http://schemas.openxmlformats.org/officeDocument/2006/relationships/comments" Id="rId8" Target="comments.xml" /><Relationship Type="http://schemas.openxmlformats.org/officeDocument/2006/relationships/image" Id="rId66" Target="media/rId66.jpg" /><Relationship Type="http://schemas.openxmlformats.org/officeDocument/2006/relationships/image" Id="rId308" Target="media/rId308.png" /><Relationship Type="http://schemas.openxmlformats.org/officeDocument/2006/relationships/image" Id="rId62" Target="media/rId62.jpg" /><Relationship Type="http://schemas.openxmlformats.org/officeDocument/2006/relationships/image" Id="rId337" Target="media/rId337.jpg" /><Relationship Type="http://schemas.openxmlformats.org/officeDocument/2006/relationships/image" Id="rId70" Target="media/rId70.jpg" /><Relationship Type="http://schemas.openxmlformats.org/officeDocument/2006/relationships/image" Id="rId45" Target="media/rId45.jpg" /><Relationship Type="http://schemas.openxmlformats.org/officeDocument/2006/relationships/image" Id="rId303" Target="media/rId303.jpg" /><Relationship Type="http://schemas.openxmlformats.org/officeDocument/2006/relationships/image" Id="rId78" Target="media/rId78.jpg" /><Relationship Type="http://schemas.openxmlformats.org/officeDocument/2006/relationships/image" Id="rId384" Target="media/rId384.jpg" /><Relationship Type="http://schemas.openxmlformats.org/officeDocument/2006/relationships/image" Id="rId379" Target="media/rId379.jpg" /><Relationship Type="http://schemas.openxmlformats.org/officeDocument/2006/relationships/image" Id="rId373" Target="media/rId373.jpg" /><Relationship Type="http://schemas.openxmlformats.org/officeDocument/2006/relationships/image" Id="rId368" Target="media/rId368.jpg" /><Relationship Type="http://schemas.openxmlformats.org/officeDocument/2006/relationships/image" Id="rId362" Target="media/rId362.jpg" /><Relationship Type="http://schemas.openxmlformats.org/officeDocument/2006/relationships/image" Id="rId357" Target="media/rId357.jpg" /><Relationship Type="http://schemas.openxmlformats.org/officeDocument/2006/relationships/image" Id="rId351" Target="media/rId351.jpg" /><Relationship Type="http://schemas.openxmlformats.org/officeDocument/2006/relationships/image" Id="rId346" Target="media/rId346.jpg" /><Relationship Type="http://schemas.openxmlformats.org/officeDocument/2006/relationships/image" Id="rId55" Target="media/rId55.png" /><Relationship Type="http://schemas.openxmlformats.org/officeDocument/2006/relationships/image" Id="rId328" Target="media/rId328.png" /><Relationship Type="http://schemas.openxmlformats.org/officeDocument/2006/relationships/image" Id="rId317" Target="media/rId317.png" /><Relationship Type="http://schemas.openxmlformats.org/officeDocument/2006/relationships/image" Id="rId333" Target="media/rId333.png" /><Relationship Type="http://schemas.openxmlformats.org/officeDocument/2006/relationships/image" Id="rId37" Target="media/rId37.jpg" /><Relationship Type="http://schemas.openxmlformats.org/officeDocument/2006/relationships/image" Id="rId20" Target="media/rId20.jpg" /><Relationship Type="http://schemas.openxmlformats.org/officeDocument/2006/relationships/image" Id="rId299" Target="media/rId299.png" /><Relationship Type="http://schemas.openxmlformats.org/officeDocument/2006/relationships/image" Id="rId312" Target="media/rId312.jpg" /><Relationship Type="http://schemas.openxmlformats.org/officeDocument/2006/relationships/hyperlink" Id="rId291" Target="http://dx.doi.org/10.5194/nhess-2019-74" TargetMode="External" /><Relationship Type="http://schemas.openxmlformats.org/officeDocument/2006/relationships/hyperlink" Id="rId288" Target="https://cdm17192.contentdm.oclc.org/digital/collection/p17192coll1/id/476/rec/3" TargetMode="External" /><Relationship Type="http://schemas.openxmlformats.org/officeDocument/2006/relationships/hyperlink" Id="rId219" Target="https://cdm17192.contentdm.oclc.org/digital/collection/p17192coll1/id/662/rec/1" TargetMode="External" /><Relationship Type="http://schemas.openxmlformats.org/officeDocument/2006/relationships/hyperlink" Id="rId110" Target="https://doi.org/10.1002/2013wr014994" TargetMode="External" /><Relationship Type="http://schemas.openxmlformats.org/officeDocument/2006/relationships/hyperlink" Id="rId133" Target="https://doi.org/10.1002/2014GL061055" TargetMode="External" /><Relationship Type="http://schemas.openxmlformats.org/officeDocument/2006/relationships/hyperlink" Id="rId114" Target="https://doi.org/10.1002/2015WR017401" TargetMode="External" /><Relationship Type="http://schemas.openxmlformats.org/officeDocument/2006/relationships/hyperlink" Id="rId270" Target="https://doi.org/10.1002/2016WR019638" TargetMode="External" /><Relationship Type="http://schemas.openxmlformats.org/officeDocument/2006/relationships/hyperlink" Id="rId238" Target="https://doi.org/10.1002/2016wr019240" TargetMode="External" /><Relationship Type="http://schemas.openxmlformats.org/officeDocument/2006/relationships/hyperlink" Id="rId183" Target="https://doi.org/10.1002/2017GL075860" TargetMode="External" /><Relationship Type="http://schemas.openxmlformats.org/officeDocument/2006/relationships/hyperlink" Id="rId152" Target="https://doi.org/10.1002/9781119818625.ch4" TargetMode="External" /><Relationship Type="http://schemas.openxmlformats.org/officeDocument/2006/relationships/hyperlink" Id="rId223" Target="https://doi.org/10.1002/eap.1746" TargetMode="External" /><Relationship Type="http://schemas.openxmlformats.org/officeDocument/2006/relationships/hyperlink" Id="rId176" Target="https://doi.org/10.1002/eco.1363" TargetMode="External" /><Relationship Type="http://schemas.openxmlformats.org/officeDocument/2006/relationships/hyperlink" Id="rId131" Target="https://doi.org/10.1002/eco.1792" TargetMode="External" /><Relationship Type="http://schemas.openxmlformats.org/officeDocument/2006/relationships/hyperlink" Id="rId123" Target="https://doi.org/10.1002/eco.2202" TargetMode="External" /><Relationship Type="http://schemas.openxmlformats.org/officeDocument/2006/relationships/hyperlink" Id="rId91" Target="https://doi.org/10.1002/eco.233" TargetMode="External" /><Relationship Type="http://schemas.openxmlformats.org/officeDocument/2006/relationships/hyperlink" Id="rId104" Target="https://doi.org/10.1002/eco.2406" TargetMode="External" /><Relationship Type="http://schemas.openxmlformats.org/officeDocument/2006/relationships/hyperlink" Id="rId276" Target="https://doi.org/10.1002/eco.45" TargetMode="External" /><Relationship Type="http://schemas.openxmlformats.org/officeDocument/2006/relationships/hyperlink" Id="rId221" Target="https://doi.org/10.1002/hyp.14432" TargetMode="External" /><Relationship Type="http://schemas.openxmlformats.org/officeDocument/2006/relationships/hyperlink" Id="rId142" Target="https://doi.org/10.1002/joc.1688" TargetMode="External" /><Relationship Type="http://schemas.openxmlformats.org/officeDocument/2006/relationships/hyperlink" Id="rId244" Target="https://doi.org/10.1002/rse2.186" TargetMode="External" /><Relationship Type="http://schemas.openxmlformats.org/officeDocument/2006/relationships/hyperlink" Id="rId161" Target="https://doi.org/10.1007/978-3-030-68124-1_2" TargetMode="External" /><Relationship Type="http://schemas.openxmlformats.org/officeDocument/2006/relationships/hyperlink" Id="rId252" Target="https://doi.org/10.1007/s10040-005-0437-6" TargetMode="External" /><Relationship Type="http://schemas.openxmlformats.org/officeDocument/2006/relationships/hyperlink" Id="rId217" Target="https://doi.org/10.1007/s10040-006-0134-0" TargetMode="External" /><Relationship Type="http://schemas.openxmlformats.org/officeDocument/2006/relationships/hyperlink" Id="rId242" Target="https://doi.org/10.1007/s10040-006-0138-9" TargetMode="External" /><Relationship Type="http://schemas.openxmlformats.org/officeDocument/2006/relationships/hyperlink" Id="rId268" Target="https://doi.org/10.1007/s10040-017-1688-8" TargetMode="External" /><Relationship Type="http://schemas.openxmlformats.org/officeDocument/2006/relationships/hyperlink" Id="rId135" Target="https://doi.org/10.1007/s11269-009-9479-1" TargetMode="External" /><Relationship Type="http://schemas.openxmlformats.org/officeDocument/2006/relationships/hyperlink" Id="rId240" Target="https://doi.org/10.1007/s12594-018-1015-6" TargetMode="External" /><Relationship Type="http://schemas.openxmlformats.org/officeDocument/2006/relationships/hyperlink" Id="rId137" Target="https://doi.org/10.1007/s12665-009-0110-9" TargetMode="External" /><Relationship Type="http://schemas.openxmlformats.org/officeDocument/2006/relationships/hyperlink" Id="rId119" Target="https://doi.org/10.1016/0022-1694(82)90117-2" TargetMode="External" /><Relationship Type="http://schemas.openxmlformats.org/officeDocument/2006/relationships/hyperlink" Id="rId159" Target="https://doi.org/10.1016/j.apgeochem.2023.105604" TargetMode="External" /><Relationship Type="http://schemas.openxmlformats.org/officeDocument/2006/relationships/hyperlink" Id="rId209" Target="https://doi.org/10.1016/j.foreco.2006.03.023" TargetMode="External" /><Relationship Type="http://schemas.openxmlformats.org/officeDocument/2006/relationships/hyperlink" Id="rId295" Target="https://doi.org/10.1016/j.foreco.2009.08.005" TargetMode="External" /><Relationship Type="http://schemas.openxmlformats.org/officeDocument/2006/relationships/hyperlink" Id="rId193" Target="https://doi.org/10.1016/j.foreco.2012.10.036" TargetMode="External" /><Relationship Type="http://schemas.openxmlformats.org/officeDocument/2006/relationships/hyperlink" Id="rId262" Target="https://doi.org/10.1016/j.foreco.2014.07.029" TargetMode="External" /><Relationship Type="http://schemas.openxmlformats.org/officeDocument/2006/relationships/hyperlink" Id="rId146" Target="https://doi.org/10.1016/j.foreco.2019.02.020" TargetMode="External" /><Relationship Type="http://schemas.openxmlformats.org/officeDocument/2006/relationships/hyperlink" Id="rId148" Target="https://doi.org/10.1016/j.foreco.2022.120324" TargetMode="External" /><Relationship Type="http://schemas.openxmlformats.org/officeDocument/2006/relationships/hyperlink" Id="rId187" Target="https://doi.org/10.1016/j.geomorph.2012.11.005" TargetMode="External" /><Relationship Type="http://schemas.openxmlformats.org/officeDocument/2006/relationships/hyperlink" Id="rId144" Target="https://doi.org/10.1016/j.geomorph.2012.12.015" TargetMode="External" /><Relationship Type="http://schemas.openxmlformats.org/officeDocument/2006/relationships/hyperlink" Id="rId234" Target="https://doi.org/10.1016/j.gsd.2023.100994" TargetMode="External" /><Relationship Type="http://schemas.openxmlformats.org/officeDocument/2006/relationships/hyperlink" Id="rId232" Target="https://doi.org/10.1016/j.jenvman.2012.01.003" TargetMode="External" /><Relationship Type="http://schemas.openxmlformats.org/officeDocument/2006/relationships/hyperlink" Id="rId215" Target="https://doi.org/10.1016/j.landurbplan.2018.12.012" TargetMode="External" /><Relationship Type="http://schemas.openxmlformats.org/officeDocument/2006/relationships/hyperlink" Id="rId246" Target="https://doi.org/10.1016/j.rse.2015.08.028" TargetMode="External" /><Relationship Type="http://schemas.openxmlformats.org/officeDocument/2006/relationships/hyperlink" Id="rId197" Target="https://doi.org/10.1016/j.scitotenv.2023.163260" TargetMode="External" /><Relationship Type="http://schemas.openxmlformats.org/officeDocument/2006/relationships/hyperlink" Id="rId150" Target="https://doi.org/10.1016/j.srs.2021.100029" TargetMode="External" /><Relationship Type="http://schemas.openxmlformats.org/officeDocument/2006/relationships/hyperlink" Id="rId173" Target="https://doi.org/10.1016/s0022-1694(98)00149-8" TargetMode="External" /><Relationship Type="http://schemas.openxmlformats.org/officeDocument/2006/relationships/hyperlink" Id="rId157" Target="https://doi.org/10.1029/2005JD006470" TargetMode="External" /><Relationship Type="http://schemas.openxmlformats.org/officeDocument/2006/relationships/hyperlink" Id="rId293" Target="https://doi.org/10.1029/2018gl079621" TargetMode="External" /><Relationship Type="http://schemas.openxmlformats.org/officeDocument/2006/relationships/hyperlink" Id="rId167" Target="https://doi.org/10.1029/2018wr023054" TargetMode="External" /><Relationship Type="http://schemas.openxmlformats.org/officeDocument/2006/relationships/hyperlink" Id="rId112" Target="https://doi.org/10.1029/2021WR030687" TargetMode="External" /><Relationship Type="http://schemas.openxmlformats.org/officeDocument/2006/relationships/hyperlink" Id="rId127" Target="https://doi.org/10.1029/2023ea002964" TargetMode="External" /><Relationship Type="http://schemas.openxmlformats.org/officeDocument/2006/relationships/hyperlink" Id="rId179" Target="https://doi.org/10.1029/2024GL109826" TargetMode="External" /><Relationship Type="http://schemas.openxmlformats.org/officeDocument/2006/relationships/hyperlink" Id="rId181" Target="https://doi.org/10.1029/WR010i003p00579" TargetMode="External" /><Relationship Type="http://schemas.openxmlformats.org/officeDocument/2006/relationships/hyperlink" Id="rId97" Target="https://doi.org/10.1029/WR022i001p00067" TargetMode="External" /><Relationship Type="http://schemas.openxmlformats.org/officeDocument/2006/relationships/hyperlink" Id="rId282" Target="https://doi.org/10.1038/s41558-022-01290-z" TargetMode="External" /><Relationship Type="http://schemas.openxmlformats.org/officeDocument/2006/relationships/hyperlink" Id="rId248" Target="https://doi.org/10.1038/s41598-022-12982-z" TargetMode="External" /><Relationship Type="http://schemas.openxmlformats.org/officeDocument/2006/relationships/hyperlink" Id="rId226" Target="https://doi.org/10.1080/02723646.1982.10642224" TargetMode="External" /><Relationship Type="http://schemas.openxmlformats.org/officeDocument/2006/relationships/hyperlink" Id="rId202" Target="https://doi.org/10.1080/13658810600661508" TargetMode="External" /><Relationship Type="http://schemas.openxmlformats.org/officeDocument/2006/relationships/hyperlink" Id="rId108" Target="https://doi.org/10.1088/1748-9326/aa6f94" TargetMode="External" /><Relationship Type="http://schemas.openxmlformats.org/officeDocument/2006/relationships/hyperlink" Id="rId236" Target="https://doi.org/10.1093/jofore/fvac022" TargetMode="External" /><Relationship Type="http://schemas.openxmlformats.org/officeDocument/2006/relationships/hyperlink" Id="rId207" Target="https://doi.org/10.1111/1752-1688.12989" TargetMode="External" /><Relationship Type="http://schemas.openxmlformats.org/officeDocument/2006/relationships/hyperlink" Id="rId266" Target="https://doi.org/10.1111/1752-1688.13234" TargetMode="External" /><Relationship Type="http://schemas.openxmlformats.org/officeDocument/2006/relationships/hyperlink" Id="rId286" Target="https://doi.org/10.1111/gwat.12184" TargetMode="External" /><Relationship Type="http://schemas.openxmlformats.org/officeDocument/2006/relationships/hyperlink" Id="rId204" Target="https://doi.org/10.1111/gwat.12294" TargetMode="External" /><Relationship Type="http://schemas.openxmlformats.org/officeDocument/2006/relationships/hyperlink" Id="rId260" Target="https://doi.org/10.1111/gwat.12442" TargetMode="External" /><Relationship Type="http://schemas.openxmlformats.org/officeDocument/2006/relationships/hyperlink" Id="rId211" Target="https://doi.org/10.1111/j.1752-1688.2005.tb04463.x" TargetMode="External" /><Relationship Type="http://schemas.openxmlformats.org/officeDocument/2006/relationships/hyperlink" Id="rId185" Target="https://doi.org/10.1126/sciadv.abc0020" TargetMode="External" /><Relationship Type="http://schemas.openxmlformats.org/officeDocument/2006/relationships/hyperlink" Id="rId189" Target="https://doi.org/10.1144/SP466.5" TargetMode="External" /><Relationship Type="http://schemas.openxmlformats.org/officeDocument/2006/relationships/hyperlink" Id="rId125" Target="https://doi.org/10.1175/jhm-d-16-0056.1" TargetMode="External" /><Relationship Type="http://schemas.openxmlformats.org/officeDocument/2006/relationships/hyperlink" Id="rId278" Target="https://doi.org/10.1186/s42408-023-00200-8" TargetMode="External" /><Relationship Type="http://schemas.openxmlformats.org/officeDocument/2006/relationships/hyperlink" Id="rId191" Target="https://doi.org/10.1289/EHP12187" TargetMode="External" /><Relationship Type="http://schemas.openxmlformats.org/officeDocument/2006/relationships/hyperlink" Id="rId254" Target="https://doi.org/10.1371/journal.pone.0121596" TargetMode="External" /><Relationship Type="http://schemas.openxmlformats.org/officeDocument/2006/relationships/hyperlink" Id="rId163" Target="https://doi.org/10.1371/journal.pone.0183210" TargetMode="External" /><Relationship Type="http://schemas.openxmlformats.org/officeDocument/2006/relationships/hyperlink" Id="rId95" Target="https://doi.org/10.1890/1051-0761(2002)012[1418:EROSPP]2.0.CO;2" TargetMode="External" /><Relationship Type="http://schemas.openxmlformats.org/officeDocument/2006/relationships/hyperlink" Id="rId284" Target="https://doi.org/10.21083/978-1-7770541-2-0" TargetMode="External" /><Relationship Type="http://schemas.openxmlformats.org/officeDocument/2006/relationships/hyperlink" Id="rId230" Target="https://doi.org/10.2172/2481670" TargetMode="External" /><Relationship Type="http://schemas.openxmlformats.org/officeDocument/2006/relationships/hyperlink" Id="rId256" Target="https://doi.org/10.22230/jem.2009v10n1a409" TargetMode="External" /><Relationship Type="http://schemas.openxmlformats.org/officeDocument/2006/relationships/hyperlink" Id="rId129" Target="https://doi.org/10.2307/wateresoimpa.16.1.0026" TargetMode="External" /><Relationship Type="http://schemas.openxmlformats.org/officeDocument/2006/relationships/hyperlink" Id="rId195" Target="https://doi.org/10.3389/ffgc.2023.1150413" TargetMode="External" /><Relationship Type="http://schemas.openxmlformats.org/officeDocument/2006/relationships/hyperlink" Id="rId154" Target="https://doi.org/10.3389/frwa.2024.1374961" TargetMode="External" /><Relationship Type="http://schemas.openxmlformats.org/officeDocument/2006/relationships/hyperlink" Id="rId140" Target="https://doi.org/10.3390/ijerph16152727" TargetMode="External" /><Relationship Type="http://schemas.openxmlformats.org/officeDocument/2006/relationships/hyperlink" Id="rId258" Target="https://doi.org/10.3390/land11091387" TargetMode="External" /><Relationship Type="http://schemas.openxmlformats.org/officeDocument/2006/relationships/hyperlink" Id="rId102" Target="https://doi.org/10.3390/rs13051036" TargetMode="External" /><Relationship Type="http://schemas.openxmlformats.org/officeDocument/2006/relationships/hyperlink" Id="rId106" Target="https://doi.org/10.3390/w13070978" TargetMode="External" /><Relationship Type="http://schemas.openxmlformats.org/officeDocument/2006/relationships/hyperlink" Id="rId93" Target="https://doi.org/10.4236/jwarp.2012.46045" TargetMode="External" /><Relationship Type="http://schemas.openxmlformats.org/officeDocument/2006/relationships/hyperlink" Id="rId213" Target="https://doi.org/10.5194/hessd-12-10827-2015" TargetMode="External" /><Relationship Type="http://schemas.openxmlformats.org/officeDocument/2006/relationships/hyperlink" Id="rId250" Target="https://doi.org/10.5849/jof.11-082" TargetMode="External" /><Relationship Type="http://schemas.openxmlformats.org/officeDocument/2006/relationships/hyperlink" Id="rId87" Target="https://github.com/Ryan3Lima/ATUR-Thinning-to-enhance-recharge" TargetMode="External" /><Relationship Type="http://schemas.openxmlformats.org/officeDocument/2006/relationships/hyperlink" Id="rId171" Target="https://onlinelibrary.wiley.com/doi/abs/10.1111/j.1752-1688.1991.tb01454.x" TargetMode="External" /><Relationship Type="http://schemas.openxmlformats.org/officeDocument/2006/relationships/hyperlink" Id="rId165" Target="https://onlinelibrary.wiley.com/doi/book/10.1002/9781118684986" TargetMode="External" /><Relationship Type="http://schemas.openxmlformats.org/officeDocument/2006/relationships/hyperlink" Id="rId88" Target="https://osf.io/6cuxj/?view_only=b3048392f1fc4a24b16d4c8c6bc1f00a" TargetMode="External" /><Relationship Type="http://schemas.openxmlformats.org/officeDocument/2006/relationships/hyperlink" Id="rId280" Target="https://pubs.usgs.gov/of/2014/1156/pdf/of2014-1156.pdf" TargetMode="External" /><Relationship Type="http://schemas.openxmlformats.org/officeDocument/2006/relationships/hyperlink" Id="rId228" Target="https://pubs.usgs.gov/sir/2004/5294/pdf/Parker%20SIR%202004-5294%20WEB.pdf" TargetMode="External" /><Relationship Type="http://schemas.openxmlformats.org/officeDocument/2006/relationships/hyperlink" Id="rId117" Target="https://pubs.usgs.gov/sir/2005/5198/pdf/sir20055198.pdf" TargetMode="External" /><Relationship Type="http://schemas.openxmlformats.org/officeDocument/2006/relationships/hyperlink" Id="rId272" Target="https://www.federalregister.gov/documents/2014/05/06/2014-10366/proposed-directive-on-groundwater-resource-management-forest-service-manual-2560" TargetMode="External" /><Relationship Type="http://schemas.openxmlformats.org/officeDocument/2006/relationships/hyperlink" Id="rId264" Target="https://www.fs.usda.gov/Internet/FSE_DOCUMENTS/stelprd3836454.pdf" TargetMode="External" /><Relationship Type="http://schemas.openxmlformats.org/officeDocument/2006/relationships/hyperlink" Id="rId274" Target="https://www.govinfo.gov/content/pkg/CHRG-113hhrg89799/html/CHRG-113hhrg89799.htm" TargetMode="External" /><Relationship Type="http://schemas.openxmlformats.org/officeDocument/2006/relationships/hyperlink" Id="rId200" Target="https://www.lexology.com/library/detail.aspx?g=c206481f-b49c-408b-b714-3fd798532ce6" TargetMode="External" /><Relationship Type="http://schemas.openxmlformats.org/officeDocument/2006/relationships/hyperlink" Id="rId121" Target="https://www.researchgate.net/profile/Jorge-Ramirez-14/publication/266272409_The_source_of_water_supply_in_the_United_States/links/54b5fcb50cf26833efd34687/The-source-of-water-supply-in-the-United-States.pdf" TargetMode="External" /><Relationship Type="http://schemas.openxmlformats.org/officeDocument/2006/relationships/hyperlink" Id="rId100" Target="https://www.researchgate.net/profile/Mike-Battaglia/publication/259601557_Ponderosa_pine_mixed_conifer_and_spruce-fir_forests/links/0deec52d8aabe8362e000000/Ponderosa-pine-mixed-conifer-and-spruce-fir-forests.pdf?_tp=eyJjb250ZXh0Ijp7ImZpcnN0UGFnZSI6InB1YmxpY2F0aW9uIiwicGFnZSI6InB1YmxpY2F0aW9uIn19" TargetMode="External" /></Relationships>
</file>

<file path=word/_rels/footnotes.xml.rels><?xml version="1.0" encoding="UTF-8"?><Relationships xmlns="http://schemas.openxmlformats.org/package/2006/relationships"><Relationship Type="http://schemas.openxmlformats.org/officeDocument/2006/relationships/hyperlink" Id="rId291" Target="http://dx.doi.org/10.5194/nhess-2019-74" TargetMode="External" /><Relationship Type="http://schemas.openxmlformats.org/officeDocument/2006/relationships/hyperlink" Id="rId288" Target="https://cdm17192.contentdm.oclc.org/digital/collection/p17192coll1/id/476/rec/3" TargetMode="External" /><Relationship Type="http://schemas.openxmlformats.org/officeDocument/2006/relationships/hyperlink" Id="rId219" Target="https://cdm17192.contentdm.oclc.org/digital/collection/p17192coll1/id/662/rec/1" TargetMode="External" /><Relationship Type="http://schemas.openxmlformats.org/officeDocument/2006/relationships/hyperlink" Id="rId110" Target="https://doi.org/10.1002/2013wr014994" TargetMode="External" /><Relationship Type="http://schemas.openxmlformats.org/officeDocument/2006/relationships/hyperlink" Id="rId133" Target="https://doi.org/10.1002/2014GL061055" TargetMode="External" /><Relationship Type="http://schemas.openxmlformats.org/officeDocument/2006/relationships/hyperlink" Id="rId114" Target="https://doi.org/10.1002/2015WR017401" TargetMode="External" /><Relationship Type="http://schemas.openxmlformats.org/officeDocument/2006/relationships/hyperlink" Id="rId270" Target="https://doi.org/10.1002/2016WR019638" TargetMode="External" /><Relationship Type="http://schemas.openxmlformats.org/officeDocument/2006/relationships/hyperlink" Id="rId238" Target="https://doi.org/10.1002/2016wr019240" TargetMode="External" /><Relationship Type="http://schemas.openxmlformats.org/officeDocument/2006/relationships/hyperlink" Id="rId183" Target="https://doi.org/10.1002/2017GL075860" TargetMode="External" /><Relationship Type="http://schemas.openxmlformats.org/officeDocument/2006/relationships/hyperlink" Id="rId152" Target="https://doi.org/10.1002/9781119818625.ch4" TargetMode="External" /><Relationship Type="http://schemas.openxmlformats.org/officeDocument/2006/relationships/hyperlink" Id="rId223" Target="https://doi.org/10.1002/eap.1746" TargetMode="External" /><Relationship Type="http://schemas.openxmlformats.org/officeDocument/2006/relationships/hyperlink" Id="rId176" Target="https://doi.org/10.1002/eco.1363" TargetMode="External" /><Relationship Type="http://schemas.openxmlformats.org/officeDocument/2006/relationships/hyperlink" Id="rId131" Target="https://doi.org/10.1002/eco.1792" TargetMode="External" /><Relationship Type="http://schemas.openxmlformats.org/officeDocument/2006/relationships/hyperlink" Id="rId123" Target="https://doi.org/10.1002/eco.2202" TargetMode="External" /><Relationship Type="http://schemas.openxmlformats.org/officeDocument/2006/relationships/hyperlink" Id="rId91" Target="https://doi.org/10.1002/eco.233" TargetMode="External" /><Relationship Type="http://schemas.openxmlformats.org/officeDocument/2006/relationships/hyperlink" Id="rId104" Target="https://doi.org/10.1002/eco.2406" TargetMode="External" /><Relationship Type="http://schemas.openxmlformats.org/officeDocument/2006/relationships/hyperlink" Id="rId276" Target="https://doi.org/10.1002/eco.45" TargetMode="External" /><Relationship Type="http://schemas.openxmlformats.org/officeDocument/2006/relationships/hyperlink" Id="rId221" Target="https://doi.org/10.1002/hyp.14432" TargetMode="External" /><Relationship Type="http://schemas.openxmlformats.org/officeDocument/2006/relationships/hyperlink" Id="rId142" Target="https://doi.org/10.1002/joc.1688" TargetMode="External" /><Relationship Type="http://schemas.openxmlformats.org/officeDocument/2006/relationships/hyperlink" Id="rId244" Target="https://doi.org/10.1002/rse2.186" TargetMode="External" /><Relationship Type="http://schemas.openxmlformats.org/officeDocument/2006/relationships/hyperlink" Id="rId161" Target="https://doi.org/10.1007/978-3-030-68124-1_2" TargetMode="External" /><Relationship Type="http://schemas.openxmlformats.org/officeDocument/2006/relationships/hyperlink" Id="rId252" Target="https://doi.org/10.1007/s10040-005-0437-6" TargetMode="External" /><Relationship Type="http://schemas.openxmlformats.org/officeDocument/2006/relationships/hyperlink" Id="rId217" Target="https://doi.org/10.1007/s10040-006-0134-0" TargetMode="External" /><Relationship Type="http://schemas.openxmlformats.org/officeDocument/2006/relationships/hyperlink" Id="rId242" Target="https://doi.org/10.1007/s10040-006-0138-9" TargetMode="External" /><Relationship Type="http://schemas.openxmlformats.org/officeDocument/2006/relationships/hyperlink" Id="rId268" Target="https://doi.org/10.1007/s10040-017-1688-8" TargetMode="External" /><Relationship Type="http://schemas.openxmlformats.org/officeDocument/2006/relationships/hyperlink" Id="rId135" Target="https://doi.org/10.1007/s11269-009-9479-1" TargetMode="External" /><Relationship Type="http://schemas.openxmlformats.org/officeDocument/2006/relationships/hyperlink" Id="rId240" Target="https://doi.org/10.1007/s12594-018-1015-6" TargetMode="External" /><Relationship Type="http://schemas.openxmlformats.org/officeDocument/2006/relationships/hyperlink" Id="rId137" Target="https://doi.org/10.1007/s12665-009-0110-9" TargetMode="External" /><Relationship Type="http://schemas.openxmlformats.org/officeDocument/2006/relationships/hyperlink" Id="rId119" Target="https://doi.org/10.1016/0022-1694(82)90117-2" TargetMode="External" /><Relationship Type="http://schemas.openxmlformats.org/officeDocument/2006/relationships/hyperlink" Id="rId159" Target="https://doi.org/10.1016/j.apgeochem.2023.105604" TargetMode="External" /><Relationship Type="http://schemas.openxmlformats.org/officeDocument/2006/relationships/hyperlink" Id="rId209" Target="https://doi.org/10.1016/j.foreco.2006.03.023" TargetMode="External" /><Relationship Type="http://schemas.openxmlformats.org/officeDocument/2006/relationships/hyperlink" Id="rId295" Target="https://doi.org/10.1016/j.foreco.2009.08.005" TargetMode="External" /><Relationship Type="http://schemas.openxmlformats.org/officeDocument/2006/relationships/hyperlink" Id="rId193" Target="https://doi.org/10.1016/j.foreco.2012.10.036" TargetMode="External" /><Relationship Type="http://schemas.openxmlformats.org/officeDocument/2006/relationships/hyperlink" Id="rId262" Target="https://doi.org/10.1016/j.foreco.2014.07.029" TargetMode="External" /><Relationship Type="http://schemas.openxmlformats.org/officeDocument/2006/relationships/hyperlink" Id="rId146" Target="https://doi.org/10.1016/j.foreco.2019.02.020" TargetMode="External" /><Relationship Type="http://schemas.openxmlformats.org/officeDocument/2006/relationships/hyperlink" Id="rId148" Target="https://doi.org/10.1016/j.foreco.2022.120324" TargetMode="External" /><Relationship Type="http://schemas.openxmlformats.org/officeDocument/2006/relationships/hyperlink" Id="rId187" Target="https://doi.org/10.1016/j.geomorph.2012.11.005" TargetMode="External" /><Relationship Type="http://schemas.openxmlformats.org/officeDocument/2006/relationships/hyperlink" Id="rId144" Target="https://doi.org/10.1016/j.geomorph.2012.12.015" TargetMode="External" /><Relationship Type="http://schemas.openxmlformats.org/officeDocument/2006/relationships/hyperlink" Id="rId234" Target="https://doi.org/10.1016/j.gsd.2023.100994" TargetMode="External" /><Relationship Type="http://schemas.openxmlformats.org/officeDocument/2006/relationships/hyperlink" Id="rId232" Target="https://doi.org/10.1016/j.jenvman.2012.01.003" TargetMode="External" /><Relationship Type="http://schemas.openxmlformats.org/officeDocument/2006/relationships/hyperlink" Id="rId215" Target="https://doi.org/10.1016/j.landurbplan.2018.12.012" TargetMode="External" /><Relationship Type="http://schemas.openxmlformats.org/officeDocument/2006/relationships/hyperlink" Id="rId246" Target="https://doi.org/10.1016/j.rse.2015.08.028" TargetMode="External" /><Relationship Type="http://schemas.openxmlformats.org/officeDocument/2006/relationships/hyperlink" Id="rId197" Target="https://doi.org/10.1016/j.scitotenv.2023.163260" TargetMode="External" /><Relationship Type="http://schemas.openxmlformats.org/officeDocument/2006/relationships/hyperlink" Id="rId150" Target="https://doi.org/10.1016/j.srs.2021.100029" TargetMode="External" /><Relationship Type="http://schemas.openxmlformats.org/officeDocument/2006/relationships/hyperlink" Id="rId173" Target="https://doi.org/10.1016/s0022-1694(98)00149-8" TargetMode="External" /><Relationship Type="http://schemas.openxmlformats.org/officeDocument/2006/relationships/hyperlink" Id="rId157" Target="https://doi.org/10.1029/2005JD006470" TargetMode="External" /><Relationship Type="http://schemas.openxmlformats.org/officeDocument/2006/relationships/hyperlink" Id="rId293" Target="https://doi.org/10.1029/2018gl079621" TargetMode="External" /><Relationship Type="http://schemas.openxmlformats.org/officeDocument/2006/relationships/hyperlink" Id="rId167" Target="https://doi.org/10.1029/2018wr023054" TargetMode="External" /><Relationship Type="http://schemas.openxmlformats.org/officeDocument/2006/relationships/hyperlink" Id="rId112" Target="https://doi.org/10.1029/2021WR030687" TargetMode="External" /><Relationship Type="http://schemas.openxmlformats.org/officeDocument/2006/relationships/hyperlink" Id="rId127" Target="https://doi.org/10.1029/2023ea002964" TargetMode="External" /><Relationship Type="http://schemas.openxmlformats.org/officeDocument/2006/relationships/hyperlink" Id="rId179" Target="https://doi.org/10.1029/2024GL109826" TargetMode="External" /><Relationship Type="http://schemas.openxmlformats.org/officeDocument/2006/relationships/hyperlink" Id="rId181" Target="https://doi.org/10.1029/WR010i003p00579" TargetMode="External" /><Relationship Type="http://schemas.openxmlformats.org/officeDocument/2006/relationships/hyperlink" Id="rId97" Target="https://doi.org/10.1029/WR022i001p00067" TargetMode="External" /><Relationship Type="http://schemas.openxmlformats.org/officeDocument/2006/relationships/hyperlink" Id="rId282" Target="https://doi.org/10.1038/s41558-022-01290-z" TargetMode="External" /><Relationship Type="http://schemas.openxmlformats.org/officeDocument/2006/relationships/hyperlink" Id="rId248" Target="https://doi.org/10.1038/s41598-022-12982-z" TargetMode="External" /><Relationship Type="http://schemas.openxmlformats.org/officeDocument/2006/relationships/hyperlink" Id="rId226" Target="https://doi.org/10.1080/02723646.1982.10642224" TargetMode="External" /><Relationship Type="http://schemas.openxmlformats.org/officeDocument/2006/relationships/hyperlink" Id="rId202" Target="https://doi.org/10.1080/13658810600661508" TargetMode="External" /><Relationship Type="http://schemas.openxmlformats.org/officeDocument/2006/relationships/hyperlink" Id="rId108" Target="https://doi.org/10.1088/1748-9326/aa6f94" TargetMode="External" /><Relationship Type="http://schemas.openxmlformats.org/officeDocument/2006/relationships/hyperlink" Id="rId236" Target="https://doi.org/10.1093/jofore/fvac022" TargetMode="External" /><Relationship Type="http://schemas.openxmlformats.org/officeDocument/2006/relationships/hyperlink" Id="rId207" Target="https://doi.org/10.1111/1752-1688.12989" TargetMode="External" /><Relationship Type="http://schemas.openxmlformats.org/officeDocument/2006/relationships/hyperlink" Id="rId266" Target="https://doi.org/10.1111/1752-1688.13234" TargetMode="External" /><Relationship Type="http://schemas.openxmlformats.org/officeDocument/2006/relationships/hyperlink" Id="rId286" Target="https://doi.org/10.1111/gwat.12184" TargetMode="External" /><Relationship Type="http://schemas.openxmlformats.org/officeDocument/2006/relationships/hyperlink" Id="rId204" Target="https://doi.org/10.1111/gwat.12294" TargetMode="External" /><Relationship Type="http://schemas.openxmlformats.org/officeDocument/2006/relationships/hyperlink" Id="rId260" Target="https://doi.org/10.1111/gwat.12442" TargetMode="External" /><Relationship Type="http://schemas.openxmlformats.org/officeDocument/2006/relationships/hyperlink" Id="rId211" Target="https://doi.org/10.1111/j.1752-1688.2005.tb04463.x" TargetMode="External" /><Relationship Type="http://schemas.openxmlformats.org/officeDocument/2006/relationships/hyperlink" Id="rId185" Target="https://doi.org/10.1126/sciadv.abc0020" TargetMode="External" /><Relationship Type="http://schemas.openxmlformats.org/officeDocument/2006/relationships/hyperlink" Id="rId189" Target="https://doi.org/10.1144/SP466.5" TargetMode="External" /><Relationship Type="http://schemas.openxmlformats.org/officeDocument/2006/relationships/hyperlink" Id="rId125" Target="https://doi.org/10.1175/jhm-d-16-0056.1" TargetMode="External" /><Relationship Type="http://schemas.openxmlformats.org/officeDocument/2006/relationships/hyperlink" Id="rId278" Target="https://doi.org/10.1186/s42408-023-00200-8" TargetMode="External" /><Relationship Type="http://schemas.openxmlformats.org/officeDocument/2006/relationships/hyperlink" Id="rId191" Target="https://doi.org/10.1289/EHP12187" TargetMode="External" /><Relationship Type="http://schemas.openxmlformats.org/officeDocument/2006/relationships/hyperlink" Id="rId254" Target="https://doi.org/10.1371/journal.pone.0121596" TargetMode="External" /><Relationship Type="http://schemas.openxmlformats.org/officeDocument/2006/relationships/hyperlink" Id="rId163" Target="https://doi.org/10.1371/journal.pone.0183210" TargetMode="External" /><Relationship Type="http://schemas.openxmlformats.org/officeDocument/2006/relationships/hyperlink" Id="rId95" Target="https://doi.org/10.1890/1051-0761(2002)012[1418:EROSPP]2.0.CO;2" TargetMode="External" /><Relationship Type="http://schemas.openxmlformats.org/officeDocument/2006/relationships/hyperlink" Id="rId284" Target="https://doi.org/10.21083/978-1-7770541-2-0" TargetMode="External" /><Relationship Type="http://schemas.openxmlformats.org/officeDocument/2006/relationships/hyperlink" Id="rId230" Target="https://doi.org/10.2172/2481670" TargetMode="External" /><Relationship Type="http://schemas.openxmlformats.org/officeDocument/2006/relationships/hyperlink" Id="rId256" Target="https://doi.org/10.22230/jem.2009v10n1a409" TargetMode="External" /><Relationship Type="http://schemas.openxmlformats.org/officeDocument/2006/relationships/hyperlink" Id="rId129" Target="https://doi.org/10.2307/wateresoimpa.16.1.0026" TargetMode="External" /><Relationship Type="http://schemas.openxmlformats.org/officeDocument/2006/relationships/hyperlink" Id="rId195" Target="https://doi.org/10.3389/ffgc.2023.1150413" TargetMode="External" /><Relationship Type="http://schemas.openxmlformats.org/officeDocument/2006/relationships/hyperlink" Id="rId154" Target="https://doi.org/10.3389/frwa.2024.1374961" TargetMode="External" /><Relationship Type="http://schemas.openxmlformats.org/officeDocument/2006/relationships/hyperlink" Id="rId140" Target="https://doi.org/10.3390/ijerph16152727" TargetMode="External" /><Relationship Type="http://schemas.openxmlformats.org/officeDocument/2006/relationships/hyperlink" Id="rId258" Target="https://doi.org/10.3390/land11091387" TargetMode="External" /><Relationship Type="http://schemas.openxmlformats.org/officeDocument/2006/relationships/hyperlink" Id="rId102" Target="https://doi.org/10.3390/rs13051036" TargetMode="External" /><Relationship Type="http://schemas.openxmlformats.org/officeDocument/2006/relationships/hyperlink" Id="rId106" Target="https://doi.org/10.3390/w13070978" TargetMode="External" /><Relationship Type="http://schemas.openxmlformats.org/officeDocument/2006/relationships/hyperlink" Id="rId93" Target="https://doi.org/10.4236/jwarp.2012.46045" TargetMode="External" /><Relationship Type="http://schemas.openxmlformats.org/officeDocument/2006/relationships/hyperlink" Id="rId213" Target="https://doi.org/10.5194/hessd-12-10827-2015" TargetMode="External" /><Relationship Type="http://schemas.openxmlformats.org/officeDocument/2006/relationships/hyperlink" Id="rId250" Target="https://doi.org/10.5849/jof.11-082" TargetMode="External" /><Relationship Type="http://schemas.openxmlformats.org/officeDocument/2006/relationships/hyperlink" Id="rId87" Target="https://github.com/Ryan3Lima/ATUR-Thinning-to-enhance-recharge" TargetMode="External" /><Relationship Type="http://schemas.openxmlformats.org/officeDocument/2006/relationships/hyperlink" Id="rId171" Target="https://onlinelibrary.wiley.com/doi/abs/10.1111/j.1752-1688.1991.tb01454.x" TargetMode="External" /><Relationship Type="http://schemas.openxmlformats.org/officeDocument/2006/relationships/hyperlink" Id="rId165" Target="https://onlinelibrary.wiley.com/doi/book/10.1002/9781118684986" TargetMode="External" /><Relationship Type="http://schemas.openxmlformats.org/officeDocument/2006/relationships/hyperlink" Id="rId88" Target="https://osf.io/6cuxj/?view_only=b3048392f1fc4a24b16d4c8c6bc1f00a" TargetMode="External" /><Relationship Type="http://schemas.openxmlformats.org/officeDocument/2006/relationships/hyperlink" Id="rId280" Target="https://pubs.usgs.gov/of/2014/1156/pdf/of2014-1156.pdf" TargetMode="External" /><Relationship Type="http://schemas.openxmlformats.org/officeDocument/2006/relationships/hyperlink" Id="rId228" Target="https://pubs.usgs.gov/sir/2004/5294/pdf/Parker%20SIR%202004-5294%20WEB.pdf" TargetMode="External" /><Relationship Type="http://schemas.openxmlformats.org/officeDocument/2006/relationships/hyperlink" Id="rId117" Target="https://pubs.usgs.gov/sir/2005/5198/pdf/sir20055198.pdf" TargetMode="External" /><Relationship Type="http://schemas.openxmlformats.org/officeDocument/2006/relationships/hyperlink" Id="rId272" Target="https://www.federalregister.gov/documents/2014/05/06/2014-10366/proposed-directive-on-groundwater-resource-management-forest-service-manual-2560" TargetMode="External" /><Relationship Type="http://schemas.openxmlformats.org/officeDocument/2006/relationships/hyperlink" Id="rId264" Target="https://www.fs.usda.gov/Internet/FSE_DOCUMENTS/stelprd3836454.pdf" TargetMode="External" /><Relationship Type="http://schemas.openxmlformats.org/officeDocument/2006/relationships/hyperlink" Id="rId274" Target="https://www.govinfo.gov/content/pkg/CHRG-113hhrg89799/html/CHRG-113hhrg89799.htm" TargetMode="External" /><Relationship Type="http://schemas.openxmlformats.org/officeDocument/2006/relationships/hyperlink" Id="rId200" Target="https://www.lexology.com/library/detail.aspx?g=c206481f-b49c-408b-b714-3fd798532ce6" TargetMode="External" /><Relationship Type="http://schemas.openxmlformats.org/officeDocument/2006/relationships/hyperlink" Id="rId121" Target="https://www.researchgate.net/profile/Jorge-Ramirez-14/publication/266272409_The_source_of_water_supply_in_the_United_States/links/54b5fcb50cf26833efd34687/The-source-of-water-supply-in-the-United-States.pdf" TargetMode="External" /><Relationship Type="http://schemas.openxmlformats.org/officeDocument/2006/relationships/hyperlink" Id="rId100" Target="https://www.researchgate.net/profile/Mike-Battaglia/publication/259601557_Ponderosa_pine_mixed_conifer_and_spruce-fir_forests/links/0deec52d8aabe8362e000000/Ponderosa-pine-mixed-conifer-and-spruce-fir-forests.pdf?_tp=eyJjb250ZXh0Ijp7ImZpcnN0UGFnZSI6InB1YmxpY2F0aW9uIiwicGFnZSI6InB1YmxpY2F0aW9uIn19" TargetMode="External"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Words>83</Words>
  <SharedDoc>false</SharedDoc>
  <HyperlinksChanged>false</HyperlinksChanged>
  <Lines>12</Lines>
  <AppVersion>12.0000</AppVersion>
  <LinksUpToDate>false</LinksUpToDate>
  <Application>Microsoft Word 12.0.0</Application>
  <CharactersWithSpaces>583</CharactersWithSpaces>
  <Template>Normal.dotm</Template>
  <DocSecurity>0</DocSecurity>
  <TotalTime>6</TotalTime>
  <ScaleCrop>false</ScaleCrop>
  <Characters>475</Characters>
  <Paragraphs>8</Paragraphs>
  <Pages>1</Page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Mapping landscape suitability for thinning to reduce evapotranspiration and enhance groundwater recharge in semi-arid ponderosa pine forests</dc:title>
  <dc:creator>Ryan E Lima; Neha Gupta; Travis Zalesky; Temuulen Tsagaan Sankey; Abraham E Springer; Patrick D. Broxton; Katharine Jacobs</dc:creator>
  <cp:keywords>Suitability mapping, Forest thinning, Water Resources, Groundwater recharge, Potential Recharge Zones, GIS-MCDA, WSM</cp:keywords>
  <dcterms:created xsi:type="dcterms:W3CDTF">2025-04-08T19:53:29Z</dcterms:created>
  <dcterms:modified xsi:type="dcterms:W3CDTF">2025-04-08T19:53:29Z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ey-points">
    <vt:lpwstr/>
  </property>
  <property fmtid="{D5CDD505-2E9C-101B-9397-08002B2CF9AE}" pid="3" name="abstract">
    <vt:lpwstr>Literature on the relationship between forest thinning and water yield was used to develop suitability criteria to map where forest treatment is most likely to enhance groundwater recharge across the ponderosa pine (Pinus ponderosa) forests of Arizona. Recharge in ponderosa pine forests is ephemeral and focused in periods of snowmelt and locations of enhanced permeability when soil moisture exceeds threshold levels. Our approach combines thematic maps of criteria such as fraction of precipitation as snow, slope, aspect, landscape morphology, forest basal area, canopy cover, lineament density, lithology, and hydrologic soil type into a GIS-Multi-Criteria Decision Analysis. Thematic layers were grouped into indices and suitability was determined through a weighted sum model of variables and indices. Approximately 10% (182,000 hectares) of the 1.8 million ha of ponderosa pine forests across western and northern Arizona were found to be highly suitable for groundwater recharge enhancement from forest thinning. This study finds that much of the area where thinning is already planned for the purpose of restoring other ecosystem services may also improve groundwater management in a state facing serious groundwater declines. This GIS-based approach enables hydrologically informed and spatially targeted forest management in semi-arid landscapes from catchment to regional scales.</vt:lpwstr>
  </property>
  <property fmtid="{D5CDD505-2E9C-101B-9397-08002B2CF9AE}" pid="4" name="affiliations">
    <vt:lpwstr/>
  </property>
  <property fmtid="{D5CDD505-2E9C-101B-9397-08002B2CF9AE}" pid="5" name="authors">
    <vt:lpwstr/>
  </property>
  <property fmtid="{D5CDD505-2E9C-101B-9397-08002B2CF9AE}" pid="6" name="biblio-config">
    <vt:lpwstr>True</vt:lpwstr>
  </property>
  <property fmtid="{D5CDD505-2E9C-101B-9397-08002B2CF9AE}" pid="7" name="bibliography">
    <vt:lpwstr>bibliography.bib</vt:lpwstr>
  </property>
  <property fmtid="{D5CDD505-2E9C-101B-9397-08002B2CF9AE}" pid="8" name="by-affiliation">
    <vt:lpwstr/>
  </property>
  <property fmtid="{D5CDD505-2E9C-101B-9397-08002B2CF9AE}" pid="9" name="by-author">
    <vt:lpwstr/>
  </property>
  <property fmtid="{D5CDD505-2E9C-101B-9397-08002B2CF9AE}" pid="10" name="citation">
    <vt:lpwstr/>
  </property>
  <property fmtid="{D5CDD505-2E9C-101B-9397-08002B2CF9AE}" pid="11" name="clear-hidden-classes">
    <vt:lpwstr>none</vt:lpwstr>
  </property>
  <property fmtid="{D5CDD505-2E9C-101B-9397-08002B2CF9AE}" pid="12" name="funding">
    <vt:lpwstr/>
  </property>
  <property fmtid="{D5CDD505-2E9C-101B-9397-08002B2CF9AE}" pid="13" name="google-scholar">
    <vt:lpwstr>True</vt:lpwstr>
  </property>
  <property fmtid="{D5CDD505-2E9C-101B-9397-08002B2CF9AE}" pid="14" name="header-includes">
    <vt:lpwstr/>
  </property>
  <property fmtid="{D5CDD505-2E9C-101B-9397-08002B2CF9AE}" pid="15" name="include-after">
    <vt:lpwstr/>
  </property>
  <property fmtid="{D5CDD505-2E9C-101B-9397-08002B2CF9AE}" pid="16" name="include-before">
    <vt:lpwstr/>
  </property>
  <property fmtid="{D5CDD505-2E9C-101B-9397-08002B2CF9AE}" pid="17" name="labels">
    <vt:lpwstr/>
  </property>
  <property fmtid="{D5CDD505-2E9C-101B-9397-08002B2CF9AE}" pid="18" name="lightbox">
    <vt:lpwstr>auto</vt:lpwstr>
  </property>
  <property fmtid="{D5CDD505-2E9C-101B-9397-08002B2CF9AE}" pid="19" name="manuscript">
    <vt:lpwstr/>
  </property>
  <property fmtid="{D5CDD505-2E9C-101B-9397-08002B2CF9AE}" pid="20" name="notebook-preview-options">
    <vt:lpwstr/>
  </property>
  <property fmtid="{D5CDD505-2E9C-101B-9397-08002B2CF9AE}" pid="21" name="quarto-internal">
    <vt:lpwstr/>
  </property>
  <property fmtid="{D5CDD505-2E9C-101B-9397-08002B2CF9AE}" pid="22" name="remove-hidden">
    <vt:lpwstr>all</vt:lpwstr>
  </property>
  <property fmtid="{D5CDD505-2E9C-101B-9397-08002B2CF9AE}" pid="23" name="template-partials">
    <vt:lpwstr/>
  </property>
  <property fmtid="{D5CDD505-2E9C-101B-9397-08002B2CF9AE}" pid="24" name="theme">
    <vt:lpwstr>cosmo</vt:lpwstr>
  </property>
  <property fmtid="{D5CDD505-2E9C-101B-9397-08002B2CF9AE}" pid="25" name="title-block-style">
    <vt:lpwstr>manuscript</vt:lpwstr>
  </property>
  <property fmtid="{D5CDD505-2E9C-101B-9397-08002B2CF9AE}" pid="26" name="toc-title">
    <vt:lpwstr>Table of contents</vt:lpwstr>
  </property>
  <property fmtid="{D5CDD505-2E9C-101B-9397-08002B2CF9AE}" pid="27" name="unroll-markdown-cells">
    <vt:lpwstr>True</vt:lpwstr>
  </property>
</Properties>
</file>